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 w:hAnsi="仿宋" w:eastAsia="仿宋" w:cs="仿宋"/>
          <w:b/>
          <w:bCs/>
          <w:kern w:val="0"/>
          <w:sz w:val="44"/>
          <w:szCs w:val="44"/>
        </w:rPr>
      </w:pPr>
    </w:p>
    <w:p>
      <w:pPr>
        <w:snapToGrid w:val="0"/>
        <w:spacing w:line="480" w:lineRule="auto"/>
        <w:jc w:val="center"/>
        <w:rPr>
          <w:rFonts w:hint="eastAsia" w:ascii="仿宋_GB2312" w:hAnsi="仿宋_GB2312" w:eastAsia="仿宋_GB2312" w:cs="仿宋_GB2312"/>
          <w:b/>
          <w:sz w:val="44"/>
          <w:szCs w:val="44"/>
        </w:rPr>
      </w:pPr>
      <w:r>
        <w:rPr>
          <w:rFonts w:hint="eastAsia" w:ascii="仿宋" w:hAnsi="仿宋" w:eastAsia="仿宋" w:cs="仿宋"/>
          <w:b/>
          <w:bCs/>
          <w:kern w:val="0"/>
          <w:sz w:val="44"/>
          <w:szCs w:val="44"/>
        </w:rPr>
        <w:t>洛界高速</w:t>
      </w:r>
      <w:r>
        <w:rPr>
          <w:rFonts w:hint="eastAsia" w:ascii="仿宋" w:hAnsi="仿宋" w:eastAsia="仿宋" w:cs="仿宋"/>
          <w:b/>
          <w:bCs/>
          <w:kern w:val="0"/>
          <w:sz w:val="44"/>
          <w:szCs w:val="44"/>
          <w:lang w:val="en-US" w:eastAsia="zh-CN"/>
        </w:rPr>
        <w:t>公路管</w:t>
      </w:r>
      <w:r>
        <w:rPr>
          <w:rFonts w:hint="eastAsia" w:ascii="仿宋" w:hAnsi="仿宋" w:eastAsia="仿宋" w:cs="仿宋"/>
          <w:b/>
          <w:bCs/>
          <w:kern w:val="0"/>
          <w:sz w:val="44"/>
          <w:szCs w:val="44"/>
        </w:rPr>
        <w:t>理处202</w:t>
      </w:r>
      <w:r>
        <w:rPr>
          <w:rFonts w:hint="eastAsia" w:ascii="仿宋" w:hAnsi="仿宋" w:eastAsia="仿宋" w:cs="仿宋"/>
          <w:b/>
          <w:bCs/>
          <w:kern w:val="0"/>
          <w:sz w:val="44"/>
          <w:szCs w:val="44"/>
          <w:lang w:val="en-US" w:eastAsia="zh-CN"/>
        </w:rPr>
        <w:t>3</w:t>
      </w:r>
      <w:r>
        <w:rPr>
          <w:rFonts w:hint="eastAsia" w:ascii="仿宋" w:hAnsi="仿宋" w:eastAsia="仿宋" w:cs="仿宋"/>
          <w:b/>
          <w:bCs/>
          <w:kern w:val="0"/>
          <w:sz w:val="44"/>
          <w:szCs w:val="44"/>
        </w:rPr>
        <w:t>年</w:t>
      </w:r>
      <w:r>
        <w:rPr>
          <w:rFonts w:hint="eastAsia" w:ascii="仿宋" w:hAnsi="仿宋" w:eastAsia="仿宋" w:cs="仿宋"/>
          <w:b/>
          <w:bCs/>
          <w:kern w:val="0"/>
          <w:sz w:val="44"/>
          <w:szCs w:val="44"/>
          <w:lang w:val="en-US" w:eastAsia="zh-CN"/>
        </w:rPr>
        <w:t>融媒体基础设施建设</w:t>
      </w:r>
      <w:r>
        <w:rPr>
          <w:rFonts w:hint="eastAsia" w:ascii="仿宋" w:hAnsi="仿宋" w:eastAsia="仿宋" w:cs="仿宋"/>
          <w:b/>
          <w:bCs/>
          <w:kern w:val="0"/>
          <w:sz w:val="44"/>
          <w:szCs w:val="44"/>
        </w:rPr>
        <w:t>项目</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pPr>
        <w:snapToGrid w:val="0"/>
        <w:spacing w:line="480" w:lineRule="auto"/>
        <w:rPr>
          <w:rFonts w:ascii="仿宋_GB2312" w:hAnsi="仿宋_GB2312" w:eastAsia="仿宋_GB2312" w:cs="仿宋_GB2312"/>
          <w:b/>
          <w:sz w:val="44"/>
          <w:szCs w:val="44"/>
        </w:rPr>
      </w:pPr>
    </w:p>
    <w:p>
      <w:pPr>
        <w:spacing w:line="360" w:lineRule="auto"/>
        <w:rPr>
          <w:rFonts w:ascii="仿宋_GB2312" w:hAnsi="仿宋_GB2312" w:eastAsia="仿宋_GB2312" w:cs="仿宋_GB2312"/>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招标人：</w:t>
      </w:r>
      <w:r>
        <w:rPr>
          <w:rFonts w:hint="eastAsia" w:ascii="仿宋" w:hAnsi="仿宋" w:eastAsia="仿宋" w:cs="仿宋"/>
          <w:kern w:val="0"/>
          <w:sz w:val="32"/>
          <w:szCs w:val="32"/>
        </w:rPr>
        <w:t>洛阳市</w:t>
      </w:r>
      <w:r>
        <w:rPr>
          <w:rFonts w:hint="eastAsia" w:ascii="仿宋" w:hAnsi="仿宋" w:eastAsia="仿宋" w:cs="仿宋"/>
          <w:kern w:val="0"/>
          <w:sz w:val="32"/>
          <w:szCs w:val="32"/>
          <w:lang w:val="en-US" w:eastAsia="zh-CN"/>
        </w:rPr>
        <w:t>交通</w:t>
      </w:r>
      <w:r>
        <w:rPr>
          <w:rFonts w:hint="eastAsia" w:ascii="仿宋" w:hAnsi="仿宋" w:eastAsia="仿宋" w:cs="仿宋"/>
          <w:kern w:val="0"/>
          <w:sz w:val="32"/>
          <w:szCs w:val="32"/>
        </w:rPr>
        <w:t>事业发展中心洛界高速公路管理处</w:t>
      </w:r>
    </w:p>
    <w:p>
      <w:pPr>
        <w:snapToGrid w:val="0"/>
        <w:spacing w:line="480" w:lineRule="auto"/>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w:t>
      </w: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w:t>
      </w:r>
      <w:r>
        <w:rPr>
          <w:rFonts w:hint="eastAsia" w:ascii="宋体" w:hAnsi="宋体" w:eastAsia="宋体" w:cs="宋体"/>
          <w:sz w:val="32"/>
          <w:szCs w:val="32"/>
          <w:lang w:val="en-US" w:eastAsia="zh-CN"/>
        </w:rPr>
        <w:t>23</w:t>
      </w:r>
      <w:r>
        <w:rPr>
          <w:rFonts w:hint="eastAsia" w:ascii="宋体" w:hAnsi="宋体" w:eastAsia="宋体" w:cs="宋体"/>
          <w:sz w:val="32"/>
          <w:szCs w:val="32"/>
        </w:rPr>
        <w:t>年</w:t>
      </w:r>
      <w:r>
        <w:rPr>
          <w:rFonts w:hint="eastAsia" w:ascii="宋体" w:hAnsi="宋体" w:eastAsia="宋体" w:cs="宋体"/>
          <w:sz w:val="32"/>
          <w:szCs w:val="32"/>
          <w:lang w:val="en-US" w:eastAsia="zh-CN"/>
        </w:rPr>
        <w:t>融媒体基础设施建设</w:t>
      </w:r>
      <w:r>
        <w:rPr>
          <w:rFonts w:hint="eastAsia" w:ascii="宋体" w:hAnsi="宋体" w:eastAsia="宋体" w:cs="宋体"/>
          <w:sz w:val="32"/>
          <w:szCs w:val="32"/>
        </w:rPr>
        <w:t>项目</w:t>
      </w:r>
      <w:r>
        <w:rPr>
          <w:rFonts w:hint="eastAsia" w:ascii="宋体" w:hAnsi="宋体" w:eastAsia="宋体" w:cs="宋体"/>
          <w:sz w:val="32"/>
          <w:szCs w:val="32"/>
          <w:lang w:eastAsia="zh-CN"/>
        </w:rPr>
        <w:t>，</w:t>
      </w:r>
      <w:r>
        <w:rPr>
          <w:rFonts w:hint="eastAsia" w:ascii="宋体" w:hAnsi="宋体" w:eastAsia="宋体" w:cs="宋体"/>
          <w:sz w:val="32"/>
          <w:szCs w:val="32"/>
        </w:rPr>
        <w:t>招标控制价为</w:t>
      </w:r>
      <w:r>
        <w:rPr>
          <w:rFonts w:hint="eastAsia" w:ascii="宋体" w:hAnsi="宋体" w:eastAsia="宋体" w:cs="宋体"/>
          <w:sz w:val="32"/>
          <w:szCs w:val="32"/>
          <w:lang w:val="en-US" w:eastAsia="zh-CN"/>
        </w:rPr>
        <w:t>83614.89</w:t>
      </w:r>
      <w:r>
        <w:rPr>
          <w:rFonts w:hint="eastAsia" w:ascii="宋体" w:hAnsi="宋体" w:eastAsia="宋体" w:cs="宋体"/>
          <w:sz w:val="32"/>
          <w:szCs w:val="32"/>
        </w:rPr>
        <w:t>元。</w:t>
      </w:r>
    </w:p>
    <w:p>
      <w:pPr>
        <w:pStyle w:val="17"/>
        <w:rPr>
          <w:rFonts w:hint="eastAsia" w:hAnsi="宋体" w:eastAsia="宋体" w:cs="宋体"/>
          <w:sz w:val="32"/>
          <w:szCs w:val="32"/>
          <w:lang w:val="en-US" w:eastAsia="zh-CN"/>
        </w:rPr>
      </w:pPr>
      <w:r>
        <w:rPr>
          <w:rFonts w:hint="eastAsia" w:hAnsi="宋体" w:eastAsia="宋体" w:cs="宋体"/>
          <w:sz w:val="32"/>
          <w:szCs w:val="32"/>
          <w:lang w:val="en-US" w:eastAsia="zh-CN"/>
        </w:rPr>
        <w:t>工程量如下：</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5"/>
        <w:gridCol w:w="1537"/>
        <w:gridCol w:w="805"/>
        <w:gridCol w:w="1121"/>
        <w:gridCol w:w="1100"/>
        <w:gridCol w:w="1100"/>
        <w:gridCol w:w="20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b/>
                <w:bCs/>
                <w:i w:val="0"/>
                <w:iCs w:val="0"/>
                <w:color w:val="000000"/>
                <w:sz w:val="32"/>
                <w:szCs w:val="32"/>
                <w:u w:val="none"/>
              </w:rPr>
            </w:pPr>
            <w:bookmarkStart w:id="0" w:name="_Toc515283184"/>
            <w:bookmarkStart w:id="1" w:name="_Toc515283513"/>
            <w:r>
              <w:rPr>
                <w:rFonts w:hint="eastAsia" w:ascii="仿宋" w:hAnsi="仿宋" w:eastAsia="仿宋" w:cs="仿宋"/>
                <w:b/>
                <w:bCs/>
                <w:i w:val="0"/>
                <w:iCs w:val="0"/>
                <w:color w:val="000000"/>
                <w:kern w:val="0"/>
                <w:sz w:val="32"/>
                <w:szCs w:val="32"/>
                <w:u w:val="none"/>
                <w:lang w:val="en-US" w:eastAsia="zh-CN" w:bidi="ar"/>
              </w:rPr>
              <w:t>序号</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项目名称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单位</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数量</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单价（元）</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总价（元）</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w:t>
            </w:r>
          </w:p>
        </w:tc>
        <w:tc>
          <w:tcPr>
            <w:tcW w:w="90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隔墙</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工日</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32"/>
                <w:szCs w:val="32"/>
                <w:u w:val="none"/>
              </w:rPr>
            </w:pPr>
          </w:p>
        </w:tc>
        <w:tc>
          <w:tcPr>
            <w:tcW w:w="90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批</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隔音棉(石膏墙双面，间距10cm)</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岩棉材料</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材料特殊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隔音板（阿美斯壮阻燃1.2厚）</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56.66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吊顶（旧顶拆除，新顶下移1.3m）</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10.56</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旧拆除换新</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隔音玻璃双层（洛玻）</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长115cm</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宽95cm定制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地毯（华人弯头纱）</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隔音门（品牌索佳门）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高224cm</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宽100cm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8</w:t>
            </w:r>
          </w:p>
        </w:tc>
        <w:tc>
          <w:tcPr>
            <w:tcW w:w="9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智能锁</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凯迪仕（KAADAS）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隔间门安装</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石膏板基层处理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14.4</w:t>
            </w:r>
            <w:r>
              <w:rPr>
                <w:rStyle w:val="26"/>
                <w:rFonts w:hint="eastAsia" w:ascii="仿宋" w:hAnsi="仿宋" w:eastAsia="仿宋" w:cs="仿宋"/>
                <w:sz w:val="24"/>
                <w:szCs w:val="24"/>
                <w:lang w:val="en-US" w:eastAsia="zh-CN" w:bidi="ar"/>
              </w:rPr>
              <w:t>×</w:t>
            </w:r>
            <w:r>
              <w:rPr>
                <w:rStyle w:val="27"/>
                <w:rFonts w:hint="eastAsia" w:ascii="仿宋" w:hAnsi="仿宋" w:eastAsia="仿宋" w:cs="仿宋"/>
                <w:sz w:val="24"/>
                <w:szCs w:val="24"/>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107胶胖子腻子粉</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批二遍打磨二遍</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立邦乳胶漆刷二遍</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人工4个,分两次施工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播音控制台（天津宝春）</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长160cm</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宽80cm定制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摄影台制作（千年舟欧松板，顶板2层3cm见方格）</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15.04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长4m，宽3.96m，</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高0.12m，</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弧形制作4m  千年舟欧松板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底部处理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三维乳胶漆，石膏粘粉，批三遍，打磨三遍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POSCO进口抠像漆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29.5</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分三次施工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泰国橡胶板文件柜台制作</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长3.9m，宽0.45m，高0.13m   泰国橡胶板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消防管封闭处理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室内保洁、垃圾清运</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电路改造</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19</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轨道（伟胜天花路轨3米高端）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吊臂（伟胜灯光吊臂高端）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21</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支撑架（伟胜支撑支架10cm高端）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22</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长亮灯光（光影300wLED灯光高端）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南光FOYza300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23</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柔光箱（光影柔光球65高端）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Lantern 65cm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24</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闪光灯（神牛</w:t>
            </w:r>
            <w:r>
              <w:rPr>
                <w:rStyle w:val="28"/>
                <w:rFonts w:hint="eastAsia" w:ascii="仿宋" w:hAnsi="仿宋" w:eastAsia="仿宋" w:cs="仿宋"/>
                <w:sz w:val="24"/>
                <w:szCs w:val="24"/>
                <w:lang w:val="en-US" w:eastAsia="zh-CN" w:bidi="ar"/>
              </w:rPr>
              <w:t>（Godox）</w:t>
            </w:r>
            <w:r>
              <w:rPr>
                <w:rStyle w:val="27"/>
                <w:rFonts w:hint="eastAsia" w:ascii="仿宋" w:hAnsi="仿宋" w:eastAsia="仿宋" w:cs="仿宋"/>
                <w:sz w:val="24"/>
                <w:szCs w:val="24"/>
                <w:lang w:val="en-US" w:eastAsia="zh-CN" w:bidi="ar"/>
              </w:rPr>
              <w:t>闪客400DII二代2.4G）</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盏</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25</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灯架（神牛（Godox）04灯架高端）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神牛C型灯架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26</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柔光箱（方形柔光箱高端）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LigktBox</w:t>
            </w:r>
          </w:p>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6090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27</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柔光箱（神牛八角柔光箱高端）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140八角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28</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引闪器（神牛（Godox）闪光灯引闪器高端）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X2T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30</w:t>
            </w:r>
          </w:p>
        </w:tc>
        <w:tc>
          <w:tcPr>
            <w:tcW w:w="9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6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0.00 </w:t>
            </w:r>
          </w:p>
        </w:tc>
        <w:tc>
          <w:tcPr>
            <w:tcW w:w="12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r>
    </w:tbl>
    <w:p>
      <w:pPr>
        <w:spacing w:line="540" w:lineRule="exact"/>
        <w:rPr>
          <w:rFonts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5"/>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洛阳市</w:t>
            </w:r>
            <w:r>
              <w:rPr>
                <w:rFonts w:hint="eastAsia" w:ascii="仿宋_GB2312" w:hAnsi="仿宋_GB2312" w:eastAsia="仿宋_GB2312" w:cs="仿宋_GB2312"/>
                <w:szCs w:val="21"/>
                <w:lang w:val="en-US" w:eastAsia="zh-CN"/>
              </w:rPr>
              <w:t>交通</w:t>
            </w:r>
            <w:r>
              <w:rPr>
                <w:rFonts w:hint="eastAsia" w:ascii="仿宋_GB2312" w:hAnsi="仿宋_GB2312" w:eastAsia="仿宋_GB2312" w:cs="仿宋_GB2312"/>
                <w:szCs w:val="21"/>
              </w:rPr>
              <w:t>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315" w:type="dxa"/>
            <w:vAlign w:val="center"/>
          </w:tcPr>
          <w:p>
            <w:pPr>
              <w:tabs>
                <w:tab w:val="left" w:pos="482"/>
              </w:tabs>
              <w:adjustRightInd w:val="0"/>
              <w:snapToGrid w:val="0"/>
              <w:spacing w:before="156" w:beforeLines="50" w:after="78" w:afterLines="25" w:line="300" w:lineRule="auto"/>
              <w:rPr>
                <w:rFonts w:ascii="仿宋_GB2312" w:hAnsi="仿宋_GB2312" w:eastAsia="仿宋_GB2312" w:cs="仿宋_GB2312"/>
                <w:szCs w:val="21"/>
              </w:rPr>
            </w:pPr>
            <w:r>
              <w:rPr>
                <w:rFonts w:hint="eastAsia" w:ascii="方正仿宋_GB2312" w:hAnsi="方正仿宋_GB2312" w:eastAsia="方正仿宋_GB2312" w:cs="方正仿宋_GB2312"/>
                <w:b w:val="0"/>
                <w:bCs w:val="0"/>
                <w:sz w:val="21"/>
                <w:szCs w:val="21"/>
                <w:lang w:eastAsia="zh-CN"/>
              </w:rPr>
              <w:t>20</w:t>
            </w:r>
            <w:r>
              <w:rPr>
                <w:rFonts w:hint="eastAsia" w:ascii="方正仿宋_GB2312" w:hAnsi="方正仿宋_GB2312" w:eastAsia="方正仿宋_GB2312" w:cs="方正仿宋_GB2312"/>
                <w:b w:val="0"/>
                <w:bCs w:val="0"/>
                <w:sz w:val="21"/>
                <w:szCs w:val="21"/>
                <w:lang w:val="en-US" w:eastAsia="zh-CN"/>
              </w:rPr>
              <w:t>23</w:t>
            </w:r>
            <w:r>
              <w:rPr>
                <w:rFonts w:hint="eastAsia" w:ascii="方正仿宋_GB2312" w:hAnsi="方正仿宋_GB2312" w:eastAsia="方正仿宋_GB2312" w:cs="方正仿宋_GB2312"/>
                <w:b w:val="0"/>
                <w:bCs w:val="0"/>
                <w:sz w:val="21"/>
                <w:szCs w:val="21"/>
              </w:rPr>
              <w:t>年</w:t>
            </w:r>
            <w:r>
              <w:rPr>
                <w:rFonts w:hint="eastAsia" w:ascii="方正仿宋_GB2312" w:hAnsi="方正仿宋_GB2312" w:eastAsia="方正仿宋_GB2312" w:cs="方正仿宋_GB2312"/>
                <w:b w:val="0"/>
                <w:bCs w:val="0"/>
                <w:sz w:val="21"/>
                <w:szCs w:val="21"/>
                <w:lang w:val="en-US" w:eastAsia="zh-CN"/>
              </w:rPr>
              <w:t>融媒体基础设施建设</w:t>
            </w:r>
            <w:r>
              <w:rPr>
                <w:rFonts w:hint="eastAsia" w:ascii="方正仿宋_GB2312" w:hAnsi="方正仿宋_GB2312" w:eastAsia="方正仿宋_GB2312" w:cs="方正仿宋_GB2312"/>
                <w:b w:val="0"/>
                <w:bCs w:val="0"/>
                <w:sz w:val="21"/>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6315" w:type="dxa"/>
            <w:vAlign w:val="center"/>
          </w:tcPr>
          <w:p>
            <w:pPr>
              <w:pStyle w:val="18"/>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p>
          <w:p>
            <w:pPr>
              <w:pStyle w:val="1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pPr>
              <w:pStyle w:val="18"/>
              <w:widowControl/>
              <w:tabs>
                <w:tab w:val="left" w:pos="612"/>
              </w:tabs>
              <w:ind w:right="-37"/>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方正仿宋_GB2312" w:hAnsi="方正仿宋_GB2312" w:eastAsia="方正仿宋_GB2312" w:cs="方正仿宋_GB2312"/>
                <w:b w:val="0"/>
                <w:bCs w:val="0"/>
                <w:sz w:val="21"/>
                <w:szCs w:val="21"/>
                <w:lang w:eastAsia="zh-CN"/>
              </w:rPr>
              <w:t>20</w:t>
            </w:r>
            <w:r>
              <w:rPr>
                <w:rFonts w:hint="eastAsia" w:ascii="方正仿宋_GB2312" w:hAnsi="方正仿宋_GB2312" w:eastAsia="方正仿宋_GB2312" w:cs="方正仿宋_GB2312"/>
                <w:b w:val="0"/>
                <w:bCs w:val="0"/>
                <w:sz w:val="21"/>
                <w:szCs w:val="21"/>
                <w:lang w:val="en-US" w:eastAsia="zh-CN"/>
              </w:rPr>
              <w:t>23</w:t>
            </w:r>
            <w:r>
              <w:rPr>
                <w:rFonts w:hint="eastAsia" w:ascii="方正仿宋_GB2312" w:hAnsi="方正仿宋_GB2312" w:eastAsia="方正仿宋_GB2312" w:cs="方正仿宋_GB2312"/>
                <w:b w:val="0"/>
                <w:bCs w:val="0"/>
                <w:sz w:val="21"/>
                <w:szCs w:val="21"/>
              </w:rPr>
              <w:t>年</w:t>
            </w:r>
            <w:r>
              <w:rPr>
                <w:rFonts w:hint="eastAsia" w:ascii="方正仿宋_GB2312" w:hAnsi="方正仿宋_GB2312" w:eastAsia="方正仿宋_GB2312" w:cs="方正仿宋_GB2312"/>
                <w:b w:val="0"/>
                <w:bCs w:val="0"/>
                <w:sz w:val="21"/>
                <w:szCs w:val="21"/>
                <w:lang w:val="en-US" w:eastAsia="zh-CN"/>
              </w:rPr>
              <w:t>融媒体基础设施建设</w:t>
            </w:r>
            <w:r>
              <w:rPr>
                <w:rFonts w:hint="eastAsia" w:ascii="方正仿宋_GB2312" w:hAnsi="方正仿宋_GB2312" w:eastAsia="方正仿宋_GB2312" w:cs="方正仿宋_GB2312"/>
                <w:b w:val="0"/>
                <w:bCs w:val="0"/>
                <w:sz w:val="21"/>
                <w:szCs w:val="21"/>
              </w:rPr>
              <w:t>项目</w:t>
            </w:r>
            <w:r>
              <w:rPr>
                <w:rFonts w:hint="eastAsia" w:ascii="方正仿宋_GB2312" w:hAnsi="方正仿宋_GB2312" w:eastAsia="方正仿宋_GB2312" w:cs="方正仿宋_GB2312"/>
                <w:szCs w:val="21"/>
              </w:rPr>
              <w:t>报</w:t>
            </w:r>
            <w:r>
              <w:rPr>
                <w:rFonts w:hint="eastAsia" w:ascii="仿宋_GB2312" w:hAnsi="仿宋_GB2312" w:eastAsia="仿宋_GB2312" w:cs="仿宋_GB2312"/>
                <w:szCs w:val="21"/>
              </w:rPr>
              <w:t>价书；</w:t>
            </w:r>
          </w:p>
          <w:p>
            <w:pPr>
              <w:pStyle w:val="18"/>
              <w:widowControl/>
              <w:numPr>
                <w:ilvl w:val="0"/>
                <w:numId w:val="0"/>
              </w:numPr>
              <w:tabs>
                <w:tab w:val="left" w:pos="612"/>
              </w:tabs>
              <w:ind w:left="420" w:leftChars="0" w:right="-37" w:right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企业营业执照复印件；</w:t>
            </w:r>
          </w:p>
          <w:p>
            <w:pPr>
              <w:pStyle w:val="18"/>
              <w:widowControl/>
              <w:numPr>
                <w:ilvl w:val="0"/>
                <w:numId w:val="0"/>
              </w:numPr>
              <w:tabs>
                <w:tab w:val="left" w:pos="612"/>
              </w:tabs>
              <w:ind w:left="420" w:leftChars="0" w:right="-37" w:righ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6、施工方案；</w:t>
            </w:r>
          </w:p>
          <w:p>
            <w:pPr>
              <w:pStyle w:val="18"/>
              <w:widowControl/>
              <w:numPr>
                <w:ilvl w:val="0"/>
                <w:numId w:val="0"/>
              </w:numPr>
              <w:tabs>
                <w:tab w:val="left" w:pos="612"/>
              </w:tabs>
              <w:ind w:left="420" w:leftChars="0" w:right="-37" w:rightChars="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7、安全生产承诺书；</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899" w:type="dxa"/>
            <w:vMerge w:val="restar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63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899" w:type="dxa"/>
            <w:vAlign w:val="center"/>
          </w:tcPr>
          <w:p>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pPr>
              <w:jc w:val="left"/>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16</w:t>
            </w:r>
            <w:r>
              <w:rPr>
                <w:rFonts w:hint="eastAsia" w:ascii="仿宋_GB2312" w:hAnsi="仿宋_GB2312" w:eastAsia="仿宋_GB2312" w:cs="仿宋_GB2312"/>
                <w:szCs w:val="21"/>
                <w:highlight w:val="none"/>
              </w:rPr>
              <w:t>日下午16时前发</w:t>
            </w:r>
            <w:r>
              <w:rPr>
                <w:rFonts w:hint="eastAsia" w:ascii="仿宋_GB2312" w:hAnsi="仿宋_GB2312" w:eastAsia="仿宋_GB2312" w:cs="仿宋_GB2312"/>
                <w:szCs w:val="21"/>
              </w:rPr>
              <w:t>送邮件至招标联系人（联系人：</w:t>
            </w:r>
            <w:r>
              <w:rPr>
                <w:rFonts w:hint="eastAsia" w:ascii="仿宋_GB2312" w:hAnsi="仿宋_GB2312" w:eastAsia="仿宋_GB2312" w:cs="仿宋_GB2312"/>
                <w:szCs w:val="21"/>
                <w:lang w:val="en-US" w:eastAsia="zh-CN"/>
              </w:rPr>
              <w:t>王刚</w:t>
            </w:r>
            <w:r>
              <w:rPr>
                <w:rFonts w:hint="eastAsia" w:ascii="仿宋_GB2312" w:hAnsi="仿宋_GB2312" w:eastAsia="仿宋_GB2312" w:cs="仿宋_GB2312"/>
                <w:szCs w:val="21"/>
              </w:rPr>
              <w:t>，邮箱: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请于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1月16</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下午16：00时前将盖有公章的投标确认函递交招标联系人。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投标人须于</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0时前将完整的投标文件递交至洛阳市</w:t>
            </w:r>
            <w:r>
              <w:rPr>
                <w:rFonts w:hint="eastAsia" w:ascii="仿宋_GB2312" w:hAnsi="仿宋_GB2312" w:eastAsia="仿宋_GB2312" w:cs="仿宋_GB2312"/>
                <w:szCs w:val="21"/>
                <w:lang w:val="en-US" w:eastAsia="zh-CN"/>
              </w:rPr>
              <w:t>交通事业发展中心</w:t>
            </w:r>
            <w:r>
              <w:rPr>
                <w:rFonts w:hint="eastAsia" w:ascii="仿宋_GB2312" w:hAnsi="仿宋_GB2312" w:eastAsia="仿宋_GB2312" w:cs="仿宋_GB2312"/>
                <w:szCs w:val="21"/>
              </w:rPr>
              <w:t>洛界高速公路管理处，地址：洛阳市瀍河区瀍河收费站洛界高速公路办公楼215房间。</w:t>
            </w:r>
          </w:p>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联系人及联系电话：</w:t>
            </w:r>
            <w:r>
              <w:rPr>
                <w:rFonts w:hint="eastAsia" w:ascii="仿宋_GB2312" w:hAnsi="仿宋_GB2312" w:eastAsia="仿宋_GB2312" w:cs="仿宋_GB2312"/>
                <w:szCs w:val="21"/>
                <w:lang w:val="en-US" w:eastAsia="zh-CN"/>
              </w:rPr>
              <w:t>王刚</w:t>
            </w:r>
            <w:r>
              <w:rPr>
                <w:rFonts w:hint="eastAsia" w:ascii="仿宋_GB2312" w:hAnsi="仿宋_GB2312" w:eastAsia="仿宋_GB2312" w:cs="仿宋_GB2312"/>
                <w:szCs w:val="21"/>
              </w:rPr>
              <w:t>，0379-63208178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上午9:30（同投标截止时间），在洛界高速公路管理处</w:t>
            </w:r>
            <w:r>
              <w:rPr>
                <w:rFonts w:hint="eastAsia" w:ascii="仿宋_GB2312" w:hAnsi="仿宋_GB2312" w:eastAsia="仿宋_GB2312" w:cs="仿宋_GB2312"/>
                <w:szCs w:val="21"/>
                <w:lang w:val="en-US" w:eastAsia="zh-CN"/>
              </w:rPr>
              <w:t>318</w:t>
            </w:r>
            <w:r>
              <w:rPr>
                <w:rFonts w:hint="eastAsia" w:ascii="仿宋_GB2312" w:hAnsi="仿宋_GB2312" w:eastAsia="仿宋_GB2312" w:cs="仿宋_GB2312"/>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上午9:30—10:00，安排投标单位述标，述标地点在洛界高速公路管理处会议室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6315" w:type="dxa"/>
            <w:vAlign w:val="center"/>
          </w:tcPr>
          <w:p>
            <w:pPr>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评标方法采用</w:t>
            </w:r>
            <w:r>
              <w:rPr>
                <w:rFonts w:hint="eastAsia" w:ascii="仿宋" w:hAnsi="仿宋" w:eastAsia="仿宋" w:cs="仿宋"/>
                <w:i w:val="0"/>
                <w:iCs w:val="0"/>
                <w:caps w:val="0"/>
                <w:color w:val="333333"/>
                <w:spacing w:val="0"/>
                <w:sz w:val="21"/>
                <w:szCs w:val="21"/>
                <w:shd w:val="clear" w:fill="FFFFFF"/>
                <w:lang w:val="en-US" w:eastAsia="zh-CN"/>
              </w:rPr>
              <w:t>综合打分评标法</w:t>
            </w:r>
            <w:r>
              <w:rPr>
                <w:rFonts w:hint="eastAsia" w:ascii="仿宋_GB2312" w:hAnsi="仿宋_GB2312" w:eastAsia="仿宋_GB2312" w:cs="仿宋_GB2312"/>
                <w:szCs w:val="21"/>
              </w:rPr>
              <w:t>，时间为</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    及时间</w:t>
            </w:r>
          </w:p>
        </w:tc>
        <w:tc>
          <w:tcPr>
            <w:tcW w:w="6315" w:type="dxa"/>
            <w:vAlign w:val="center"/>
          </w:tcPr>
          <w:p>
            <w:pPr>
              <w:tabs>
                <w:tab w:val="left" w:pos="482"/>
              </w:tabs>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18</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公示评标结果，在</w:t>
            </w:r>
            <w:r>
              <w:rPr>
                <w:rFonts w:hint="eastAsia" w:ascii="仿宋_GB2312" w:hAnsi="仿宋_GB2312" w:eastAsia="仿宋_GB2312" w:cs="仿宋_GB2312"/>
                <w:szCs w:val="21"/>
                <w:highlight w:val="none"/>
                <w:lang w:eastAsia="zh-CN"/>
              </w:rPr>
              <w:t>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23</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前以书面形式发出中标通知(开标次日公示评标结果公示期三天）</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bookmarkStart w:id="2" w:name="_Toc269462892"/>
      <w:bookmarkStart w:id="3" w:name="_Toc269736810"/>
      <w:bookmarkStart w:id="4" w:name="_Toc274733396"/>
      <w:bookmarkStart w:id="5" w:name="_Toc304360243"/>
      <w:bookmarkStart w:id="6" w:name="_Toc269735269"/>
      <w:bookmarkStart w:id="7" w:name="_Toc270350680"/>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pStyle w:val="3"/>
        <w:keepNext w:val="0"/>
        <w:keepLines w:val="0"/>
        <w:widowControl/>
        <w:suppressLineNumbers w:val="0"/>
        <w:ind w:firstLine="600" w:firstLineChars="200"/>
        <w:rPr>
          <w:rFonts w:ascii="仿宋" w:hAnsi="仿宋" w:eastAsia="仿宋" w:cs="仿宋"/>
          <w:sz w:val="30"/>
          <w:szCs w:val="30"/>
        </w:rPr>
      </w:pPr>
      <w:r>
        <w:rPr>
          <w:rFonts w:hint="eastAsia" w:ascii="仿宋_GB2312" w:hAnsi="仿宋_GB2312" w:eastAsia="仿宋_GB2312" w:cs="仿宋_GB2312"/>
          <w:sz w:val="30"/>
          <w:szCs w:val="30"/>
        </w:rPr>
        <w:t>1、投标人须符合《建筑法》关于法人受托机构应当具备的条件，并获得</w:t>
      </w:r>
      <w:r>
        <w:rPr>
          <w:rFonts w:hint="eastAsia" w:ascii="仿宋" w:hAnsi="仿宋" w:eastAsia="仿宋" w:cs="仿宋"/>
          <w:sz w:val="32"/>
          <w:szCs w:val="32"/>
          <w:highlight w:val="none"/>
        </w:rPr>
        <w:t>从事</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"https://wenwen.sogou.com/s/?w=%E9%92%A2%E7%BB%93%E6%9E%84%E5%B7%A5%E7%A8%8B&amp;ch=ww.xqy.chain" \t "https://wenwen.sogou.com/z/_blank"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lang w:val="en-US" w:eastAsia="zh-CN"/>
        </w:rPr>
        <w:t>室内装修</w:t>
      </w:r>
      <w:r>
        <w:rPr>
          <w:rFonts w:hint="eastAsia" w:ascii="仿宋" w:hAnsi="仿宋" w:eastAsia="仿宋" w:cs="仿宋"/>
          <w:sz w:val="32"/>
          <w:szCs w:val="32"/>
          <w:highlight w:val="none"/>
        </w:rPr>
        <w:t>工程</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需要相应的</w:t>
      </w:r>
      <w:r>
        <w:rPr>
          <w:rFonts w:hint="eastAsia" w:ascii="仿宋" w:hAnsi="仿宋" w:eastAsia="仿宋" w:cs="仿宋"/>
          <w:sz w:val="30"/>
          <w:szCs w:val="30"/>
        </w:rPr>
        <w:t>资质。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2、投标人代表必须是经合法授权的、能够完全代表投标人行为的代表人，一旦响应文件被认定，投标人必须按照响应文件的承诺履行受托服务职责。</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4、本项目不接受联合体的投标。</w:t>
      </w: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三、投标说明 </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（二）投标文件的组成</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19"/>
        <w:keepNext w:val="0"/>
        <w:keepLines w:val="0"/>
        <w:pageBreakBefore w:val="0"/>
        <w:widowControl w:val="0"/>
        <w:kinsoku/>
        <w:wordWrap/>
        <w:overflowPunct/>
        <w:topLinePunct w:val="0"/>
        <w:bidi w:val="0"/>
        <w:adjustRightInd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19"/>
        <w:keepNext w:val="0"/>
        <w:keepLines w:val="0"/>
        <w:pageBreakBefore w:val="0"/>
        <w:widowControl w:val="0"/>
        <w:kinsoku/>
        <w:wordWrap/>
        <w:overflowPunct/>
        <w:topLinePunct w:val="0"/>
        <w:bidi w:val="0"/>
        <w:adjustRightInd w:val="0"/>
        <w:snapToGrid w:val="0"/>
        <w:spacing w:line="640" w:lineRule="exact"/>
        <w:ind w:left="0" w:leftChars="0" w:firstLine="600" w:firstLineChars="200"/>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2、法定代表人身份证复印件及法定代表人投标授权委托书、委托代理人身份证复印件；</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keepNext w:val="0"/>
        <w:keepLines w:val="0"/>
        <w:pageBreakBefore w:val="0"/>
        <w:widowControl w:val="0"/>
        <w:kinsoku/>
        <w:wordWrap/>
        <w:overflowPunct/>
        <w:topLinePunct w:val="0"/>
        <w:bidi w:val="0"/>
        <w:snapToGrid w:val="0"/>
        <w:spacing w:line="640" w:lineRule="exact"/>
        <w:ind w:firstLine="600"/>
        <w:textAlignment w:val="auto"/>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bidi w:val="0"/>
        <w:snapToGrid w:val="0"/>
        <w:spacing w:line="640" w:lineRule="exact"/>
        <w:ind w:firstLine="6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pPr>
        <w:keepNext w:val="0"/>
        <w:keepLines w:val="0"/>
        <w:pageBreakBefore w:val="0"/>
        <w:widowControl w:val="0"/>
        <w:kinsoku/>
        <w:wordWrap/>
        <w:overflowPunct/>
        <w:topLinePunct w:val="0"/>
        <w:bidi w:val="0"/>
        <w:adjustRightInd w:val="0"/>
        <w:snapToGrid w:val="0"/>
        <w:spacing w:line="640" w:lineRule="exact"/>
        <w:ind w:firstLine="57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7、企业征信情况</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pPr>
        <w:pStyle w:val="19"/>
        <w:keepNext w:val="0"/>
        <w:keepLines w:val="0"/>
        <w:pageBreakBefore w:val="0"/>
        <w:widowControl w:val="0"/>
        <w:kinsoku/>
        <w:wordWrap/>
        <w:overflowPunct/>
        <w:topLinePunct w:val="0"/>
        <w:bidi w:val="0"/>
        <w:snapToGrid w:val="0"/>
        <w:spacing w:line="640" w:lineRule="exact"/>
        <w:ind w:left="105" w:leftChars="5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1）项目名称：</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w:t>
      </w:r>
      <w:r>
        <w:rPr>
          <w:rFonts w:hint="eastAsia" w:ascii="仿宋_GB2312" w:hAnsi="仿宋_GB2312" w:eastAsia="仿宋_GB2312" w:cs="仿宋_GB2312"/>
          <w:color w:val="000000"/>
          <w:sz w:val="30"/>
          <w:szCs w:val="30"/>
          <w:lang w:val="en-US" w:eastAsia="zh-CN"/>
        </w:rPr>
        <w:t>交通</w:t>
      </w:r>
      <w:r>
        <w:rPr>
          <w:rFonts w:hint="eastAsia" w:ascii="仿宋_GB2312" w:hAnsi="仿宋_GB2312" w:eastAsia="仿宋_GB2312" w:cs="仿宋_GB2312"/>
          <w:color w:val="000000"/>
          <w:sz w:val="30"/>
          <w:szCs w:val="30"/>
        </w:rPr>
        <w:t>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pPr>
        <w:pStyle w:val="19"/>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pPr>
        <w:pStyle w:val="19"/>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w:t>
      </w:r>
      <w:r>
        <w:rPr>
          <w:rFonts w:hint="eastAsia" w:ascii="仿宋_GB2312" w:hAnsi="仿宋_GB2312" w:eastAsia="仿宋_GB2312" w:cs="仿宋_GB2312"/>
          <w:b w:val="0"/>
          <w:color w:val="000000"/>
          <w:sz w:val="30"/>
          <w:szCs w:val="30"/>
          <w:highlight w:val="none"/>
          <w:lang w:eastAsia="zh-CN"/>
        </w:rPr>
        <w:t>202</w:t>
      </w:r>
      <w:r>
        <w:rPr>
          <w:rFonts w:hint="eastAsia" w:ascii="仿宋_GB2312" w:hAnsi="仿宋_GB2312" w:eastAsia="仿宋_GB2312" w:cs="仿宋_GB2312"/>
          <w:b w:val="0"/>
          <w:color w:val="000000"/>
          <w:sz w:val="30"/>
          <w:szCs w:val="30"/>
          <w:highlight w:val="none"/>
          <w:lang w:val="en-US" w:eastAsia="zh-CN"/>
        </w:rPr>
        <w:t>4</w:t>
      </w:r>
      <w:r>
        <w:rPr>
          <w:rFonts w:hint="eastAsia" w:ascii="仿宋_GB2312" w:hAnsi="仿宋_GB2312" w:eastAsia="仿宋_GB2312" w:cs="仿宋_GB2312"/>
          <w:b w:val="0"/>
          <w:color w:val="000000"/>
          <w:sz w:val="30"/>
          <w:szCs w:val="30"/>
          <w:highlight w:val="none"/>
        </w:rPr>
        <w:t>年</w:t>
      </w:r>
      <w:r>
        <w:rPr>
          <w:rFonts w:hint="eastAsia" w:ascii="仿宋_GB2312" w:hAnsi="仿宋_GB2312" w:eastAsia="仿宋_GB2312" w:cs="仿宋_GB2312"/>
          <w:b w:val="0"/>
          <w:color w:val="000000"/>
          <w:sz w:val="30"/>
          <w:szCs w:val="30"/>
          <w:highlight w:val="none"/>
          <w:lang w:val="en-US" w:eastAsia="zh-CN"/>
        </w:rPr>
        <w:t>1</w:t>
      </w:r>
      <w:r>
        <w:rPr>
          <w:rFonts w:hint="eastAsia" w:ascii="仿宋_GB2312" w:hAnsi="仿宋_GB2312" w:eastAsia="仿宋_GB2312" w:cs="仿宋_GB2312"/>
          <w:b w:val="0"/>
          <w:color w:val="000000"/>
          <w:sz w:val="30"/>
          <w:szCs w:val="30"/>
          <w:highlight w:val="none"/>
        </w:rPr>
        <w:t>月</w:t>
      </w:r>
      <w:r>
        <w:rPr>
          <w:rFonts w:hint="eastAsia" w:ascii="仿宋_GB2312" w:hAnsi="仿宋_GB2312" w:eastAsia="仿宋_GB2312" w:cs="仿宋_GB2312"/>
          <w:b w:val="0"/>
          <w:color w:val="000000"/>
          <w:sz w:val="30"/>
          <w:szCs w:val="30"/>
          <w:highlight w:val="none"/>
          <w:lang w:val="en-US" w:eastAsia="zh-CN"/>
        </w:rPr>
        <w:t>17日</w:t>
      </w:r>
      <w:r>
        <w:rPr>
          <w:rFonts w:hint="eastAsia" w:ascii="仿宋_GB2312" w:hAnsi="仿宋_GB2312" w:eastAsia="仿宋_GB2312" w:cs="仿宋_GB2312"/>
          <w:b w:val="0"/>
          <w:color w:val="000000"/>
          <w:sz w:val="30"/>
          <w:szCs w:val="30"/>
        </w:rPr>
        <w:t>上午9：30时之前送达到招标人。</w:t>
      </w:r>
    </w:p>
    <w:p>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1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pPr>
        <w:pStyle w:val="20"/>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19"/>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pPr>
        <w:pStyle w:val="19"/>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19"/>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ind w:firstLine="1807" w:firstLineChars="500"/>
        <w:jc w:val="left"/>
        <w:rPr>
          <w:rFonts w:hint="eastAsia" w:ascii="仿宋_GB2312" w:hAnsi="仿宋_GB2312" w:eastAsia="仿宋_GB2312" w:cs="仿宋_GB2312"/>
          <w:b/>
          <w:color w:val="000000"/>
          <w:sz w:val="36"/>
          <w:szCs w:val="36"/>
        </w:rPr>
      </w:pPr>
    </w:p>
    <w:p>
      <w:pPr>
        <w:widowControl/>
        <w:snapToGrid w:val="0"/>
        <w:spacing w:line="360" w:lineRule="auto"/>
        <w:jc w:val="both"/>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hint="eastAsia" w:ascii="仿宋_GB2312" w:hAnsi="仿宋_GB2312" w:eastAsia="仿宋_GB2312" w:cs="仿宋_GB2312"/>
          <w:b/>
          <w:color w:val="000000"/>
          <w:sz w:val="36"/>
          <w:szCs w:val="36"/>
        </w:rPr>
      </w:pPr>
    </w:p>
    <w:p>
      <w:pPr>
        <w:widowControl/>
        <w:snapToGrid w:val="0"/>
        <w:spacing w:line="360" w:lineRule="auto"/>
        <w:jc w:val="center"/>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20"/>
        <w:tabs>
          <w:tab w:val="clear" w:pos="567"/>
        </w:tabs>
        <w:snapToGrid w:val="0"/>
        <w:spacing w:line="360" w:lineRule="auto"/>
        <w:ind w:left="0" w:firstLine="0"/>
        <w:rPr>
          <w:rFonts w:ascii="仿宋" w:hAnsi="仿宋" w:eastAsia="仿宋" w:cs="仿宋"/>
          <w:sz w:val="32"/>
          <w:szCs w:val="32"/>
        </w:rPr>
      </w:pPr>
    </w:p>
    <w:p>
      <w:pPr>
        <w:pStyle w:val="20"/>
        <w:keepNext w:val="0"/>
        <w:keepLines w:val="0"/>
        <w:pageBreakBefore w:val="0"/>
        <w:tabs>
          <w:tab w:val="clear" w:pos="567"/>
        </w:tabs>
        <w:kinsoku/>
        <w:wordWrap/>
        <w:overflowPunct/>
        <w:topLinePunct w:val="0"/>
        <w:bidi w:val="0"/>
        <w:snapToGrid w:val="0"/>
        <w:spacing w:line="640" w:lineRule="exact"/>
        <w:ind w:left="0" w:firstLine="0"/>
        <w:jc w:val="both"/>
        <w:textAlignment w:val="auto"/>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pPr>
        <w:keepNext w:val="0"/>
        <w:keepLines w:val="0"/>
        <w:pageBreakBefore w:val="0"/>
        <w:widowControl/>
        <w:shd w:val="clear" w:color="auto" w:fill="FFFFFF"/>
        <w:kinsoku/>
        <w:wordWrap/>
        <w:overflowPunct/>
        <w:topLinePunct w:val="0"/>
        <w:bidi w:val="0"/>
        <w:spacing w:before="300" w:after="225" w:line="640" w:lineRule="exact"/>
        <w:jc w:val="both"/>
        <w:textAlignment w:val="auto"/>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i w:val="0"/>
          <w:iCs w:val="0"/>
          <w:caps w:val="0"/>
          <w:color w:val="333333"/>
          <w:spacing w:val="0"/>
          <w:sz w:val="32"/>
          <w:szCs w:val="32"/>
          <w:shd w:val="clear" w:fill="FFFFFF"/>
          <w:lang w:val="en-US" w:eastAsia="zh-CN"/>
        </w:rPr>
        <w:t>综合打分</w:t>
      </w:r>
      <w:r>
        <w:rPr>
          <w:rFonts w:hint="eastAsia" w:ascii="仿宋" w:hAnsi="仿宋" w:eastAsia="仿宋" w:cs="仿宋"/>
          <w:i w:val="0"/>
          <w:iCs w:val="0"/>
          <w:caps w:val="0"/>
          <w:color w:val="333333"/>
          <w:spacing w:val="0"/>
          <w:sz w:val="32"/>
          <w:szCs w:val="32"/>
          <w:shd w:val="clear" w:fill="FFFFFF"/>
        </w:rPr>
        <w:t>评标法</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w:t>
      </w:r>
      <w:r>
        <w:rPr>
          <w:rFonts w:hint="eastAsia" w:ascii="仿宋" w:hAnsi="仿宋" w:eastAsia="仿宋" w:cs="仿宋"/>
          <w:sz w:val="32"/>
          <w:szCs w:val="32"/>
          <w:lang w:val="en-US" w:eastAsia="zh-CN"/>
        </w:rPr>
        <w:t>评分高</w:t>
      </w:r>
      <w:r>
        <w:rPr>
          <w:rFonts w:hint="eastAsia" w:ascii="仿宋" w:hAnsi="仿宋" w:eastAsia="仿宋" w:cs="仿宋"/>
          <w:sz w:val="32"/>
          <w:szCs w:val="32"/>
        </w:rPr>
        <w:t>者中标</w:t>
      </w:r>
      <w:r>
        <w:rPr>
          <w:rFonts w:hint="eastAsia" w:ascii="仿宋" w:hAnsi="仿宋" w:eastAsia="仿宋" w:cs="仿宋"/>
          <w:kern w:val="0"/>
          <w:sz w:val="32"/>
          <w:szCs w:val="32"/>
          <w:shd w:val="clear" w:color="auto" w:fill="FFFFFF"/>
          <w:lang w:bidi="ar"/>
        </w:rPr>
        <w:t>。</w:t>
      </w:r>
    </w:p>
    <w:p>
      <w:pPr>
        <w:keepNext w:val="0"/>
        <w:keepLines w:val="0"/>
        <w:pageBreakBefore w:val="0"/>
        <w:kinsoku/>
        <w:wordWrap/>
        <w:overflowPunct/>
        <w:topLinePunct w:val="0"/>
        <w:bidi w:val="0"/>
        <w:snapToGrid w:val="0"/>
        <w:spacing w:line="640" w:lineRule="exact"/>
        <w:ind w:firstLine="57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w:t>
      </w:r>
      <w:r>
        <w:rPr>
          <w:rFonts w:hint="eastAsia" w:ascii="仿宋_GB2312" w:hAnsi="仿宋_GB2312" w:eastAsia="仿宋_GB2312" w:cs="仿宋_GB2312"/>
          <w:color w:val="000000"/>
          <w:sz w:val="30"/>
          <w:szCs w:val="30"/>
          <w:lang w:val="en-US" w:eastAsia="zh-CN"/>
        </w:rPr>
        <w:t>科学</w:t>
      </w:r>
      <w:r>
        <w:rPr>
          <w:rFonts w:hint="eastAsia" w:ascii="仿宋_GB2312" w:hAnsi="仿宋_GB2312" w:eastAsia="仿宋_GB2312" w:cs="仿宋_GB2312"/>
          <w:color w:val="000000"/>
          <w:sz w:val="30"/>
          <w:szCs w:val="30"/>
        </w:rPr>
        <w:t>合理排名第一的为中标单位，排名第二、第三的为候补单位。</w:t>
      </w:r>
    </w:p>
    <w:p>
      <w:pPr>
        <w:snapToGrid w:val="0"/>
        <w:spacing w:line="360" w:lineRule="auto"/>
        <w:rPr>
          <w:rFonts w:ascii="仿宋_GB2312" w:hAnsi="仿宋_GB2312" w:eastAsia="仿宋_GB2312" w:cs="仿宋_GB2312"/>
          <w:color w:val="000000"/>
          <w:sz w:val="28"/>
          <w:szCs w:val="28"/>
        </w:rPr>
      </w:pPr>
    </w:p>
    <w:p>
      <w:pPr>
        <w:spacing w:line="540" w:lineRule="exact"/>
        <w:jc w:val="both"/>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pStyle w:val="17"/>
        <w:rPr>
          <w:rFonts w:hint="eastAsia" w:ascii="仿宋_GB2312" w:hAnsi="仿宋_GB2312" w:eastAsia="仿宋_GB2312" w:cs="仿宋_GB2312"/>
          <w:b/>
          <w:color w:val="000000"/>
          <w:sz w:val="36"/>
          <w:szCs w:val="36"/>
        </w:rPr>
      </w:pPr>
    </w:p>
    <w:p>
      <w:pPr>
        <w:pStyle w:val="17"/>
        <w:rPr>
          <w:rFonts w:hint="eastAsia" w:ascii="仿宋_GB2312" w:hAnsi="仿宋_GB2312" w:eastAsia="仿宋_GB2312" w:cs="仿宋_GB2312"/>
          <w:b/>
          <w:color w:val="000000"/>
          <w:sz w:val="36"/>
          <w:szCs w:val="36"/>
        </w:rPr>
      </w:pPr>
    </w:p>
    <w:p>
      <w:pPr>
        <w:pStyle w:val="17"/>
        <w:rPr>
          <w:rFonts w:hint="eastAsia" w:ascii="仿宋_GB2312" w:hAnsi="仿宋_GB2312" w:eastAsia="仿宋_GB2312" w:cs="仿宋_GB2312"/>
          <w:b/>
          <w:color w:val="000000"/>
          <w:sz w:val="36"/>
          <w:szCs w:val="36"/>
        </w:rPr>
      </w:pPr>
    </w:p>
    <w:p>
      <w:pPr>
        <w:pStyle w:val="17"/>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附件一：投标确认函</w:t>
      </w:r>
      <w:bookmarkStart w:id="8" w:name="_Hlk515283166"/>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投标确认函</w:t>
      </w:r>
      <w:bookmarkEnd w:id="8"/>
    </w:p>
    <w:p>
      <w:pPr>
        <w:spacing w:line="540" w:lineRule="exact"/>
        <w:ind w:firstLine="600" w:firstLineChars="200"/>
        <w:jc w:val="left"/>
        <w:rPr>
          <w:rFonts w:ascii="仿宋_GB2312" w:hAnsi="仿宋_GB2312" w:eastAsia="仿宋_GB2312" w:cs="仿宋_GB2312"/>
          <w:color w:val="000000"/>
          <w:sz w:val="30"/>
          <w:szCs w:val="30"/>
        </w:rPr>
      </w:pPr>
    </w:p>
    <w:p>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w:t>
      </w:r>
      <w:r>
        <w:rPr>
          <w:rFonts w:hint="eastAsia" w:ascii="仿宋_GB2312" w:hAnsi="仿宋_GB2312" w:eastAsia="仿宋_GB2312" w:cs="仿宋_GB2312"/>
          <w:color w:val="000000"/>
          <w:sz w:val="30"/>
          <w:szCs w:val="30"/>
          <w:lang w:val="en-US" w:eastAsia="zh-CN"/>
        </w:rPr>
        <w:t>交通</w:t>
      </w:r>
      <w:r>
        <w:rPr>
          <w:rFonts w:hint="eastAsia" w:ascii="仿宋_GB2312" w:hAnsi="仿宋_GB2312" w:eastAsia="仿宋_GB2312" w:cs="仿宋_GB2312"/>
          <w:color w:val="000000"/>
          <w:sz w:val="30"/>
          <w:szCs w:val="30"/>
        </w:rPr>
        <w:t>事业发展中心洛界高速公路管理处：</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项目的招标邀请，同意招标文件相关约定并同意在规定时间内提供投标书等相关资料，且承诺所提供资料均真实有效。</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联系人：XXXX</w:t>
      </w: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联系方式：XXXX</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ind w:left="424" w:leftChars="202"/>
        <w:rPr>
          <w:rFonts w:ascii="仿宋_GB2312" w:hAnsi="仿宋_GB2312" w:eastAsia="仿宋_GB2312" w:cs="仿宋_GB2312"/>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附件二：投标函</w:t>
      </w:r>
    </w:p>
    <w:p>
      <w:pPr>
        <w:pStyle w:val="17"/>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w:t>
      </w:r>
      <w:r>
        <w:rPr>
          <w:rFonts w:hint="eastAsia" w:ascii="仿宋_GB2312" w:hAnsi="仿宋_GB2312" w:eastAsia="仿宋_GB2312" w:cs="仿宋_GB2312"/>
          <w:color w:val="000000"/>
          <w:sz w:val="30"/>
          <w:szCs w:val="30"/>
          <w:lang w:val="en-US" w:eastAsia="zh-CN"/>
        </w:rPr>
        <w:t>交通</w:t>
      </w:r>
      <w:r>
        <w:rPr>
          <w:rFonts w:hint="eastAsia" w:ascii="仿宋_GB2312" w:hAnsi="仿宋_GB2312" w:eastAsia="仿宋_GB2312" w:cs="仿宋_GB2312"/>
          <w:color w:val="000000"/>
          <w:sz w:val="30"/>
          <w:szCs w:val="30"/>
        </w:rPr>
        <w:t>事业发展中心洛界高速公路管理处：</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项目的招标。</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1、报价为XXXX元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2、工期为XXXX日历天</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项目相关的任何信息资料，不论是何种载体或以何种方式传递的信息，仅限于本次投标所用，我单位承诺不会将此类信息用于任何与本次投标无关的用途。</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项目有关的重要事实。如承诺不实，我单位自动放弃参选资格，并赔偿由此给招标人洛阳市公路事业发展中心洛界高速公路管理处造成的任何损失或费用。</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附件三：法定代表人授权书</w:t>
      </w:r>
    </w:p>
    <w:p>
      <w:pPr>
        <w:spacing w:line="360" w:lineRule="auto"/>
        <w:rPr>
          <w:rFonts w:ascii="仿宋_GB2312" w:hAnsi="仿宋_GB2312" w:eastAsia="仿宋_GB2312" w:cs="仿宋_GB2312"/>
          <w:color w:val="000000"/>
          <w:sz w:val="30"/>
          <w:szCs w:val="30"/>
        </w:rPr>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w:t>
      </w:r>
      <w:r>
        <w:rPr>
          <w:rFonts w:hint="eastAsia" w:ascii="仿宋_GB2312" w:hAnsi="仿宋_GB2312" w:eastAsia="仿宋_GB2312" w:cs="仿宋_GB2312"/>
          <w:color w:val="000000"/>
          <w:sz w:val="30"/>
          <w:szCs w:val="30"/>
          <w:lang w:val="en-US" w:eastAsia="zh-CN"/>
        </w:rPr>
        <w:t>交通</w:t>
      </w:r>
      <w:r>
        <w:rPr>
          <w:rFonts w:hint="eastAsia" w:ascii="仿宋_GB2312" w:hAnsi="仿宋_GB2312" w:eastAsia="仿宋_GB2312" w:cs="仿宋_GB2312"/>
          <w:color w:val="000000"/>
          <w:sz w:val="30"/>
          <w:szCs w:val="30"/>
        </w:rPr>
        <w:t>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3</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val="en-US" w:eastAsia="zh-CN"/>
        </w:rPr>
        <w:t>融媒体基础设施建设</w:t>
      </w:r>
      <w:r>
        <w:rPr>
          <w:rFonts w:hint="eastAsia" w:ascii="仿宋_GB2312" w:hAnsi="仿宋_GB2312" w:eastAsia="仿宋_GB2312" w:cs="仿宋_GB2312"/>
          <w:color w:val="000000"/>
          <w:sz w:val="30"/>
          <w:szCs w:val="30"/>
        </w:rPr>
        <w:t>项目的投标、谈判、签约等具体工作，并签署全部有关的文件、协议及合同。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0"/>
          <w:szCs w:val="30"/>
        </w:rPr>
        <w:t>投标人（公章）</w:t>
      </w:r>
      <w:bookmarkStart w:id="9" w:name="_GoBack"/>
      <w:bookmarkEnd w:id="9"/>
    </w:p>
    <w:p>
      <w:pPr>
        <w:pStyle w:val="4"/>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r –¾’©">
    <w:altName w:val="Yu Gothic"/>
    <w:panose1 w:val="00000000000000000000"/>
    <w:charset w:val="80"/>
    <w:family w:val="roma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embedRegular r:id="rId1" w:fontKey="{F2B4AA3B-353F-4CF8-AAD3-9122BF816FF8}"/>
  </w:font>
  <w:font w:name="仿宋_GB2312">
    <w:altName w:val="仿宋"/>
    <w:panose1 w:val="00000000000000000000"/>
    <w:charset w:val="86"/>
    <w:family w:val="auto"/>
    <w:pitch w:val="default"/>
    <w:sig w:usb0="00000000" w:usb1="00000000" w:usb2="00000000" w:usb3="00000000" w:csb0="00040000" w:csb1="00000000"/>
    <w:embedRegular r:id="rId2" w:fontKey="{34F42C17-C92F-4123-89D3-2F0909025F61}"/>
  </w:font>
  <w:font w:name="方正仿宋_GB2312">
    <w:panose1 w:val="02000000000000000000"/>
    <w:charset w:val="86"/>
    <w:family w:val="auto"/>
    <w:pitch w:val="default"/>
    <w:sig w:usb0="A00002BF" w:usb1="184F6CFA" w:usb2="00000012" w:usb3="00000000" w:csb0="00040001" w:csb1="00000000"/>
    <w:embedRegular r:id="rId3" w:fontKey="{597B361D-637A-4386-9B4E-C74B37954EC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 w:name="KSO_WPS_MARK_KEY" w:val="ff62b5ed-5535-404f-925d-c09106631438"/>
  </w:docVars>
  <w:rsids>
    <w:rsidRoot w:val="009E46F8"/>
    <w:rsid w:val="009E46F8"/>
    <w:rsid w:val="00A709DB"/>
    <w:rsid w:val="00B07C78"/>
    <w:rsid w:val="00C87364"/>
    <w:rsid w:val="01600E4F"/>
    <w:rsid w:val="02312975"/>
    <w:rsid w:val="04ED56A1"/>
    <w:rsid w:val="05B035F9"/>
    <w:rsid w:val="061F0C1E"/>
    <w:rsid w:val="07271FDA"/>
    <w:rsid w:val="07376DCA"/>
    <w:rsid w:val="07B424F5"/>
    <w:rsid w:val="07FE6993"/>
    <w:rsid w:val="09CD2A00"/>
    <w:rsid w:val="0B613B72"/>
    <w:rsid w:val="0CF3253C"/>
    <w:rsid w:val="0DE05CB4"/>
    <w:rsid w:val="0F681801"/>
    <w:rsid w:val="0FF63667"/>
    <w:rsid w:val="108B0383"/>
    <w:rsid w:val="113F5BC3"/>
    <w:rsid w:val="12EE14DB"/>
    <w:rsid w:val="14BB5919"/>
    <w:rsid w:val="150D1B98"/>
    <w:rsid w:val="15D81BBC"/>
    <w:rsid w:val="17D878F4"/>
    <w:rsid w:val="18394CA0"/>
    <w:rsid w:val="1856380A"/>
    <w:rsid w:val="196F156C"/>
    <w:rsid w:val="19A90A16"/>
    <w:rsid w:val="1B4E5FF6"/>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67D0755"/>
    <w:rsid w:val="268A4186"/>
    <w:rsid w:val="270019D6"/>
    <w:rsid w:val="289E766C"/>
    <w:rsid w:val="293707E5"/>
    <w:rsid w:val="2A8353C2"/>
    <w:rsid w:val="2B462A28"/>
    <w:rsid w:val="2BBB762E"/>
    <w:rsid w:val="2BF81C34"/>
    <w:rsid w:val="2D3B1C1F"/>
    <w:rsid w:val="2D9647DF"/>
    <w:rsid w:val="2DE41984"/>
    <w:rsid w:val="2DF237A4"/>
    <w:rsid w:val="2E47045D"/>
    <w:rsid w:val="2EB6150F"/>
    <w:rsid w:val="2EE16CA6"/>
    <w:rsid w:val="2F732B79"/>
    <w:rsid w:val="30773700"/>
    <w:rsid w:val="30874023"/>
    <w:rsid w:val="30FD1934"/>
    <w:rsid w:val="31D6355C"/>
    <w:rsid w:val="324A22B2"/>
    <w:rsid w:val="33310B66"/>
    <w:rsid w:val="33F341D0"/>
    <w:rsid w:val="354814DA"/>
    <w:rsid w:val="35C01011"/>
    <w:rsid w:val="36286B4A"/>
    <w:rsid w:val="36716C5B"/>
    <w:rsid w:val="37C07B69"/>
    <w:rsid w:val="37C74F9B"/>
    <w:rsid w:val="38B53E06"/>
    <w:rsid w:val="38CF2BE0"/>
    <w:rsid w:val="3C312FB1"/>
    <w:rsid w:val="3D3C1673"/>
    <w:rsid w:val="3D9C3AD8"/>
    <w:rsid w:val="3DD03D86"/>
    <w:rsid w:val="3DE714F2"/>
    <w:rsid w:val="3F0F7656"/>
    <w:rsid w:val="3F7F4A97"/>
    <w:rsid w:val="401348B8"/>
    <w:rsid w:val="401E56B9"/>
    <w:rsid w:val="40B52380"/>
    <w:rsid w:val="41514EC2"/>
    <w:rsid w:val="42B209B3"/>
    <w:rsid w:val="435B62CE"/>
    <w:rsid w:val="4400330F"/>
    <w:rsid w:val="443435E1"/>
    <w:rsid w:val="44605702"/>
    <w:rsid w:val="4AB36660"/>
    <w:rsid w:val="4AB95AF0"/>
    <w:rsid w:val="4B275528"/>
    <w:rsid w:val="4F7742C7"/>
    <w:rsid w:val="505D38FF"/>
    <w:rsid w:val="51581ED6"/>
    <w:rsid w:val="51DF5C9E"/>
    <w:rsid w:val="52BC7821"/>
    <w:rsid w:val="53E40BC0"/>
    <w:rsid w:val="541B324E"/>
    <w:rsid w:val="550F6EB3"/>
    <w:rsid w:val="55650947"/>
    <w:rsid w:val="55655F4C"/>
    <w:rsid w:val="58270B1C"/>
    <w:rsid w:val="582A23C5"/>
    <w:rsid w:val="5873658A"/>
    <w:rsid w:val="5BAC159B"/>
    <w:rsid w:val="5CEE03B2"/>
    <w:rsid w:val="5D360107"/>
    <w:rsid w:val="5E707694"/>
    <w:rsid w:val="5EB979FE"/>
    <w:rsid w:val="5F377F0C"/>
    <w:rsid w:val="6020649D"/>
    <w:rsid w:val="60876D40"/>
    <w:rsid w:val="61755B39"/>
    <w:rsid w:val="61DD0259"/>
    <w:rsid w:val="61FB319F"/>
    <w:rsid w:val="62216AA8"/>
    <w:rsid w:val="635A43B6"/>
    <w:rsid w:val="65336414"/>
    <w:rsid w:val="65EE7F04"/>
    <w:rsid w:val="65FB01C9"/>
    <w:rsid w:val="66E96F0F"/>
    <w:rsid w:val="675F6C79"/>
    <w:rsid w:val="6AEC97F5"/>
    <w:rsid w:val="6B20111F"/>
    <w:rsid w:val="6BB3F0D2"/>
    <w:rsid w:val="6C363AEC"/>
    <w:rsid w:val="6CC03508"/>
    <w:rsid w:val="6D596011"/>
    <w:rsid w:val="6EEA3B2D"/>
    <w:rsid w:val="6EF0136D"/>
    <w:rsid w:val="6F320B22"/>
    <w:rsid w:val="6FC34FAB"/>
    <w:rsid w:val="6FEF3185"/>
    <w:rsid w:val="71453480"/>
    <w:rsid w:val="72164E79"/>
    <w:rsid w:val="72D7102E"/>
    <w:rsid w:val="73EE5314"/>
    <w:rsid w:val="755439F3"/>
    <w:rsid w:val="75AE0F85"/>
    <w:rsid w:val="75B510B9"/>
    <w:rsid w:val="75BA2856"/>
    <w:rsid w:val="75D24449"/>
    <w:rsid w:val="762925B5"/>
    <w:rsid w:val="76B27F15"/>
    <w:rsid w:val="7871035A"/>
    <w:rsid w:val="79DD9DFF"/>
    <w:rsid w:val="7A4433CC"/>
    <w:rsid w:val="7C3E8EBC"/>
    <w:rsid w:val="7C9D26D0"/>
    <w:rsid w:val="7DB32180"/>
    <w:rsid w:val="7F1D69F0"/>
    <w:rsid w:val="7F960C7E"/>
    <w:rsid w:val="9D1DF6CB"/>
    <w:rsid w:val="BF7F342A"/>
    <w:rsid w:val="C7B5649E"/>
    <w:rsid w:val="D9BF441D"/>
    <w:rsid w:val="DFB7F676"/>
    <w:rsid w:val="FB0EDCC3"/>
    <w:rsid w:val="FCDF8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character" w:styleId="7">
    <w:name w:val="Strong"/>
    <w:basedOn w:val="6"/>
    <w:qFormat/>
    <w:uiPriority w:val="0"/>
    <w:rPr>
      <w:b/>
      <w:bCs/>
    </w:rPr>
  </w:style>
  <w:style w:type="character" w:styleId="8">
    <w:name w:val="FollowedHyperlink"/>
    <w:basedOn w:val="6"/>
    <w:qFormat/>
    <w:uiPriority w:val="0"/>
    <w:rPr>
      <w:color w:val="338DE6"/>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0000FF"/>
      <w:u w:val="single"/>
    </w:rPr>
  </w:style>
  <w:style w:type="character" w:styleId="13">
    <w:name w:val="HTML Code"/>
    <w:basedOn w:val="6"/>
    <w:qFormat/>
    <w:uiPriority w:val="0"/>
    <w:rPr>
      <w:rFonts w:ascii="serif" w:hAnsi="serif" w:eastAsia="serif" w:cs="serif"/>
      <w:sz w:val="21"/>
      <w:szCs w:val="21"/>
    </w:rPr>
  </w:style>
  <w:style w:type="character" w:styleId="14">
    <w:name w:val="HTML Cite"/>
    <w:basedOn w:val="6"/>
    <w:qFormat/>
    <w:uiPriority w:val="0"/>
  </w:style>
  <w:style w:type="character" w:styleId="15">
    <w:name w:val="HTML Keyboard"/>
    <w:basedOn w:val="6"/>
    <w:qFormat/>
    <w:uiPriority w:val="0"/>
    <w:rPr>
      <w:rFonts w:hint="default" w:ascii="serif" w:hAnsi="serif" w:eastAsia="serif" w:cs="serif"/>
      <w:color w:val="FFFFFF"/>
      <w:sz w:val="21"/>
      <w:szCs w:val="21"/>
      <w:u w:val="none"/>
    </w:rPr>
  </w:style>
  <w:style w:type="character" w:styleId="16">
    <w:name w:val="HTML Sample"/>
    <w:basedOn w:val="6"/>
    <w:qFormat/>
    <w:uiPriority w:val="0"/>
    <w:rPr>
      <w:rFonts w:hint="default" w:ascii="serif" w:hAnsi="serif" w:eastAsia="serif" w:cs="serif"/>
      <w:sz w:val="21"/>
      <w:szCs w:val="21"/>
    </w:rPr>
  </w:style>
  <w:style w:type="paragraph" w:customStyle="1" w:styleId="17">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customStyle="1" w:styleId="18">
    <w:name w:val="列出段落1"/>
    <w:basedOn w:val="1"/>
    <w:qFormat/>
    <w:uiPriority w:val="34"/>
    <w:pPr>
      <w:ind w:firstLine="420" w:firstLineChars="200"/>
    </w:pPr>
  </w:style>
  <w:style w:type="paragraph" w:customStyle="1" w:styleId="19">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0">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1">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2">
    <w:name w:val="fontborder"/>
    <w:basedOn w:val="6"/>
    <w:qFormat/>
    <w:uiPriority w:val="0"/>
    <w:rPr>
      <w:bdr w:val="single" w:color="000000" w:sz="6" w:space="0"/>
    </w:rPr>
  </w:style>
  <w:style w:type="character" w:customStyle="1" w:styleId="23">
    <w:name w:val="fontstrikethrough"/>
    <w:basedOn w:val="6"/>
    <w:qFormat/>
    <w:uiPriority w:val="0"/>
    <w:rPr>
      <w:strike/>
    </w:rPr>
  </w:style>
  <w:style w:type="character" w:customStyle="1" w:styleId="24">
    <w:name w:val="font01"/>
    <w:basedOn w:val="6"/>
    <w:qFormat/>
    <w:uiPriority w:val="0"/>
    <w:rPr>
      <w:rFonts w:ascii="Calibri" w:hAnsi="Calibri" w:cs="Calibri"/>
      <w:color w:val="000000"/>
      <w:sz w:val="24"/>
      <w:szCs w:val="24"/>
      <w:u w:val="none"/>
    </w:rPr>
  </w:style>
  <w:style w:type="character" w:customStyle="1" w:styleId="25">
    <w:name w:val="font11"/>
    <w:basedOn w:val="6"/>
    <w:qFormat/>
    <w:uiPriority w:val="0"/>
    <w:rPr>
      <w:rFonts w:hint="eastAsia" w:ascii="宋体" w:hAnsi="宋体" w:eastAsia="宋体" w:cs="宋体"/>
      <w:color w:val="000000"/>
      <w:sz w:val="24"/>
      <w:szCs w:val="24"/>
      <w:u w:val="none"/>
    </w:rPr>
  </w:style>
  <w:style w:type="character" w:customStyle="1" w:styleId="26">
    <w:name w:val="font61"/>
    <w:basedOn w:val="6"/>
    <w:qFormat/>
    <w:uiPriority w:val="0"/>
    <w:rPr>
      <w:rFonts w:ascii="Arial" w:hAnsi="Arial" w:cs="Arial"/>
      <w:color w:val="000000"/>
      <w:sz w:val="32"/>
      <w:szCs w:val="32"/>
      <w:u w:val="none"/>
    </w:rPr>
  </w:style>
  <w:style w:type="character" w:customStyle="1" w:styleId="27">
    <w:name w:val="font21"/>
    <w:basedOn w:val="6"/>
    <w:qFormat/>
    <w:uiPriority w:val="0"/>
    <w:rPr>
      <w:rFonts w:hint="eastAsia" w:ascii="仿宋" w:hAnsi="仿宋" w:eastAsia="仿宋" w:cs="仿宋"/>
      <w:color w:val="000000"/>
      <w:sz w:val="32"/>
      <w:szCs w:val="32"/>
      <w:u w:val="none"/>
    </w:rPr>
  </w:style>
  <w:style w:type="character" w:customStyle="1" w:styleId="28">
    <w:name w:val="font71"/>
    <w:basedOn w:val="6"/>
    <w:qFormat/>
    <w:uiPriority w:val="0"/>
    <w:rPr>
      <w:rFonts w:hint="eastAsia" w:ascii="仿宋" w:hAnsi="仿宋" w:eastAsia="仿宋" w:cs="仿宋"/>
      <w:color w:val="000000"/>
      <w:sz w:val="32"/>
      <w:szCs w:val="32"/>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4908</Words>
  <Characters>5231</Characters>
  <Lines>63</Lines>
  <Paragraphs>17</Paragraphs>
  <TotalTime>11</TotalTime>
  <ScaleCrop>false</ScaleCrop>
  <LinksUpToDate>false</LinksUpToDate>
  <CharactersWithSpaces>5564</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2021-09-17T19:04:00Z</dcterms:created>
  <dc:creator>Administrator</dc:creator>
  <cp:lastModifiedBy>DY</cp:lastModifiedBy>
  <cp:lastPrinted>2022-07-01T19:13:00Z</cp:lastPrinted>
  <dcterms:modified xsi:type="dcterms:W3CDTF">2024-01-10T08:06:13Z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C448E8531DE640739007CD986FD40947</vt:lpwstr>
  </property>
</Properties>
</file>