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center"/>
        <w:rPr>
          <w:rFonts w:hint="eastAsia" w:ascii="仿宋" w:hAnsi="仿宋" w:eastAsia="仿宋" w:cs="仿宋"/>
          <w:b/>
          <w:bCs/>
          <w:kern w:val="0"/>
          <w:sz w:val="44"/>
          <w:szCs w:val="44"/>
        </w:rPr>
      </w:pPr>
    </w:p>
    <w:p>
      <w:pPr>
        <w:snapToGrid w:val="0"/>
        <w:spacing w:line="480" w:lineRule="auto"/>
        <w:jc w:val="center"/>
        <w:rPr>
          <w:rFonts w:hint="eastAsia" w:ascii="仿宋_GB2312" w:hAnsi="仿宋_GB2312" w:eastAsia="仿宋_GB2312" w:cs="仿宋_GB2312"/>
          <w:b/>
          <w:sz w:val="44"/>
          <w:szCs w:val="44"/>
        </w:rPr>
      </w:pPr>
      <w:r>
        <w:rPr>
          <w:rFonts w:hint="eastAsia" w:ascii="仿宋" w:hAnsi="仿宋" w:eastAsia="仿宋" w:cs="仿宋"/>
          <w:b/>
          <w:bCs/>
          <w:kern w:val="0"/>
          <w:sz w:val="44"/>
          <w:szCs w:val="44"/>
        </w:rPr>
        <w:t>洛界高速公路</w:t>
      </w:r>
      <w:r>
        <w:rPr>
          <w:rFonts w:hint="eastAsia" w:ascii="仿宋" w:hAnsi="仿宋" w:eastAsia="仿宋" w:cs="仿宋"/>
          <w:b/>
          <w:bCs/>
          <w:kern w:val="0"/>
          <w:sz w:val="44"/>
          <w:szCs w:val="44"/>
          <w:lang w:val="en-US" w:eastAsia="zh-CN"/>
        </w:rPr>
        <w:t>管</w:t>
      </w:r>
      <w:r>
        <w:rPr>
          <w:rFonts w:hint="eastAsia" w:ascii="仿宋" w:hAnsi="仿宋" w:eastAsia="仿宋" w:cs="仿宋"/>
          <w:b/>
          <w:bCs/>
          <w:kern w:val="0"/>
          <w:sz w:val="44"/>
          <w:szCs w:val="44"/>
        </w:rPr>
        <w:t>理处2021年汝阳站办公楼制作安装树脂瓦顶棚项目</w:t>
      </w:r>
    </w:p>
    <w:p>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招</w:t>
      </w:r>
    </w:p>
    <w:p>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标</w:t>
      </w:r>
    </w:p>
    <w:p>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文</w:t>
      </w:r>
    </w:p>
    <w:p>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件</w:t>
      </w:r>
    </w:p>
    <w:p>
      <w:pPr>
        <w:snapToGrid w:val="0"/>
        <w:spacing w:line="480" w:lineRule="auto"/>
        <w:rPr>
          <w:rFonts w:ascii="仿宋_GB2312" w:hAnsi="仿宋_GB2312" w:eastAsia="仿宋_GB2312" w:cs="仿宋_GB2312"/>
          <w:b/>
          <w:sz w:val="44"/>
          <w:szCs w:val="44"/>
        </w:rPr>
      </w:pPr>
    </w:p>
    <w:p>
      <w:pPr>
        <w:pStyle w:val="2"/>
        <w:rPr>
          <w:rFonts w:ascii="仿宋_GB2312" w:hAnsi="仿宋_GB2312" w:eastAsia="仿宋_GB2312" w:cs="仿宋_GB2312"/>
          <w:b/>
          <w:sz w:val="44"/>
          <w:szCs w:val="44"/>
        </w:rPr>
      </w:pPr>
    </w:p>
    <w:p>
      <w:pPr>
        <w:pStyle w:val="2"/>
        <w:rPr>
          <w:rFonts w:ascii="仿宋_GB2312" w:hAnsi="仿宋_GB2312" w:eastAsia="仿宋_GB2312" w:cs="仿宋_GB2312"/>
          <w:b/>
          <w:sz w:val="44"/>
          <w:szCs w:val="44"/>
        </w:rPr>
      </w:pPr>
    </w:p>
    <w:p>
      <w:pPr>
        <w:pStyle w:val="2"/>
        <w:rPr>
          <w:rFonts w:ascii="仿宋_GB2312" w:hAnsi="仿宋_GB2312" w:eastAsia="仿宋_GB2312" w:cs="仿宋_GB2312"/>
          <w:b/>
          <w:sz w:val="44"/>
          <w:szCs w:val="44"/>
        </w:rPr>
      </w:pPr>
    </w:p>
    <w:p>
      <w:pPr>
        <w:pStyle w:val="2"/>
        <w:rPr>
          <w:rFonts w:ascii="仿宋_GB2312" w:hAnsi="仿宋_GB2312" w:eastAsia="仿宋_GB2312" w:cs="仿宋_GB2312"/>
          <w:b/>
          <w:sz w:val="44"/>
          <w:szCs w:val="44"/>
        </w:rPr>
      </w:pPr>
    </w:p>
    <w:p>
      <w:pPr>
        <w:spacing w:line="360" w:lineRule="auto"/>
        <w:rPr>
          <w:rFonts w:ascii="仿宋_GB2312" w:hAnsi="仿宋_GB2312" w:eastAsia="仿宋_GB2312" w:cs="仿宋_GB2312"/>
          <w:sz w:val="44"/>
          <w:szCs w:val="44"/>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招标人：</w:t>
      </w:r>
      <w:r>
        <w:rPr>
          <w:rFonts w:hint="eastAsia" w:ascii="仿宋" w:hAnsi="仿宋" w:eastAsia="仿宋" w:cs="仿宋"/>
          <w:kern w:val="0"/>
          <w:sz w:val="32"/>
          <w:szCs w:val="32"/>
        </w:rPr>
        <w:t>洛阳市公路事业发展中心洛界高速公路管理处</w:t>
      </w:r>
    </w:p>
    <w:p>
      <w:pPr>
        <w:snapToGrid w:val="0"/>
        <w:spacing w:line="480" w:lineRule="auto"/>
        <w:jc w:val="center"/>
        <w:rPr>
          <w:rFonts w:hint="eastAsia" w:ascii="仿宋_GB2312" w:hAnsi="仿宋_GB2312" w:eastAsia="仿宋_GB2312" w:cs="仿宋_GB2312"/>
          <w:b/>
          <w:bCs/>
          <w:kern w:val="0"/>
          <w:sz w:val="36"/>
          <w:szCs w:val="36"/>
        </w:rPr>
      </w:pPr>
      <w:r>
        <w:rPr>
          <w:rFonts w:hint="eastAsia" w:ascii="仿宋_GB2312" w:hAnsi="仿宋_GB2312" w:eastAsia="仿宋_GB2312" w:cs="仿宋_GB2312"/>
          <w:bCs/>
          <w:sz w:val="32"/>
          <w:szCs w:val="32"/>
        </w:rPr>
        <w:t xml:space="preserve"> 2021年</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月2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日</w:t>
      </w:r>
    </w:p>
    <w:p>
      <w:pPr>
        <w:snapToGrid w:val="0"/>
        <w:spacing w:before="360" w:after="360" w:line="480" w:lineRule="auto"/>
        <w:jc w:val="center"/>
        <w:outlineLvl w:val="0"/>
        <w:rPr>
          <w:rFonts w:hint="eastAsia" w:ascii="仿宋_GB2312" w:hAnsi="仿宋_GB2312" w:eastAsia="仿宋_GB2312" w:cs="仿宋_GB2312"/>
          <w:b/>
          <w:bCs/>
          <w:kern w:val="0"/>
          <w:sz w:val="36"/>
          <w:szCs w:val="36"/>
        </w:rPr>
      </w:pPr>
    </w:p>
    <w:p>
      <w:pPr>
        <w:snapToGrid w:val="0"/>
        <w:spacing w:before="360" w:after="360" w:line="480" w:lineRule="auto"/>
        <w:jc w:val="center"/>
        <w:outlineLvl w:val="0"/>
        <w:rPr>
          <w:rFonts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招标文件内容</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第一部分   招标项目简介</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第二部分   投标须知</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第三部分   投标书内容</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第四部分   评标标准</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第五部分   投标文件表格式样和附表</w:t>
      </w:r>
    </w:p>
    <w:p>
      <w:pPr>
        <w:snapToGrid w:val="0"/>
        <w:spacing w:line="480" w:lineRule="auto"/>
        <w:ind w:firstLine="1247" w:firstLineChars="345"/>
        <w:rPr>
          <w:rFonts w:ascii="仿宋_GB2312" w:hAnsi="仿宋_GB2312" w:eastAsia="仿宋_GB2312" w:cs="仿宋_GB2312"/>
          <w:b/>
          <w:bCs/>
          <w:sz w:val="36"/>
          <w:szCs w:val="36"/>
        </w:rPr>
      </w:pPr>
    </w:p>
    <w:p>
      <w:pPr>
        <w:spacing w:line="480" w:lineRule="auto"/>
        <w:ind w:firstLine="1247" w:firstLineChars="345"/>
        <w:rPr>
          <w:rFonts w:ascii="仿宋_GB2312" w:hAnsi="仿宋_GB2312" w:eastAsia="仿宋_GB2312" w:cs="仿宋_GB2312"/>
          <w:b/>
          <w:bCs/>
          <w:sz w:val="36"/>
          <w:szCs w:val="20"/>
        </w:rPr>
      </w:pPr>
    </w:p>
    <w:p>
      <w:pPr>
        <w:spacing w:line="540" w:lineRule="exact"/>
        <w:jc w:val="both"/>
        <w:rPr>
          <w:rFonts w:hint="eastAsia" w:ascii="仿宋_GB2312" w:hAnsi="仿宋_GB2312" w:eastAsia="仿宋_GB2312" w:cs="仿宋_GB2312"/>
          <w:b/>
          <w:color w:val="000000"/>
          <w:sz w:val="36"/>
          <w:szCs w:val="36"/>
          <w:lang w:val="en-US" w:eastAsia="zh-CN"/>
        </w:rPr>
      </w:pPr>
      <w:r>
        <w:rPr>
          <w:rFonts w:hint="eastAsia" w:ascii="仿宋_GB2312" w:hAnsi="仿宋_GB2312" w:eastAsia="仿宋_GB2312" w:cs="仿宋_GB2312"/>
          <w:b/>
          <w:color w:val="000000"/>
          <w:sz w:val="36"/>
          <w:szCs w:val="36"/>
          <w:lang w:val="en-US" w:eastAsia="zh-CN"/>
        </w:rPr>
        <w:t xml:space="preserve">           </w:t>
      </w: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r>
        <w:rPr>
          <w:rFonts w:hint="eastAsia" w:ascii="仿宋_GB2312" w:hAnsi="仿宋_GB2312" w:eastAsia="仿宋_GB2312" w:cs="仿宋_GB2312"/>
          <w:b/>
          <w:color w:val="000000"/>
          <w:sz w:val="36"/>
          <w:szCs w:val="36"/>
          <w:lang w:val="en-US" w:eastAsia="zh-CN"/>
        </w:rPr>
        <w:t xml:space="preserve"> </w:t>
      </w: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第一部分  招标项目简介</w:t>
      </w:r>
    </w:p>
    <w:p>
      <w:pPr>
        <w:spacing w:line="540" w:lineRule="exact"/>
        <w:jc w:val="center"/>
        <w:rPr>
          <w:rFonts w:ascii="仿宋_GB2312" w:hAnsi="仿宋_GB2312" w:eastAsia="仿宋_GB2312" w:cs="仿宋_GB2312"/>
          <w:b/>
          <w:color w:val="000000"/>
          <w:sz w:val="36"/>
          <w:szCs w:val="36"/>
        </w:rPr>
      </w:pPr>
    </w:p>
    <w:p>
      <w:pPr>
        <w:adjustRightInd w:val="0"/>
        <w:snapToGrid w:val="0"/>
        <w:spacing w:line="42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一、招标项目概况</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2021年汝阳站办公楼制作安装树脂瓦顶棚项目</w:t>
      </w:r>
      <w:r>
        <w:rPr>
          <w:rFonts w:hint="eastAsia" w:ascii="宋体" w:hAnsi="宋体" w:eastAsia="宋体" w:cs="宋体"/>
          <w:sz w:val="32"/>
          <w:szCs w:val="32"/>
          <w:lang w:eastAsia="zh-CN"/>
        </w:rPr>
        <w:t>，</w:t>
      </w:r>
      <w:r>
        <w:rPr>
          <w:rFonts w:hint="eastAsia" w:ascii="宋体" w:hAnsi="宋体" w:eastAsia="宋体" w:cs="宋体"/>
          <w:sz w:val="32"/>
          <w:szCs w:val="32"/>
        </w:rPr>
        <w:t>招标控制价为</w:t>
      </w:r>
      <w:r>
        <w:rPr>
          <w:rFonts w:hint="eastAsia" w:ascii="宋体" w:hAnsi="宋体" w:eastAsia="宋体" w:cs="宋体"/>
          <w:sz w:val="32"/>
          <w:szCs w:val="32"/>
          <w:lang w:val="en-US" w:eastAsia="zh-CN"/>
        </w:rPr>
        <w:t>111290.02</w:t>
      </w:r>
      <w:r>
        <w:rPr>
          <w:rFonts w:hint="eastAsia" w:ascii="宋体" w:hAnsi="宋体" w:eastAsia="宋体" w:cs="宋体"/>
          <w:sz w:val="32"/>
          <w:szCs w:val="32"/>
        </w:rPr>
        <w:t>元。</w:t>
      </w:r>
    </w:p>
    <w:p>
      <w:pPr>
        <w:pStyle w:val="2"/>
        <w:rPr>
          <w:rFonts w:hint="eastAsia" w:hAnsi="宋体" w:eastAsia="宋体" w:cs="宋体"/>
          <w:sz w:val="32"/>
          <w:szCs w:val="32"/>
          <w:lang w:val="en-US" w:eastAsia="zh-CN"/>
        </w:rPr>
      </w:pPr>
      <w:r>
        <w:rPr>
          <w:rFonts w:hint="eastAsia" w:hAnsi="宋体" w:eastAsia="宋体" w:cs="宋体"/>
          <w:sz w:val="32"/>
          <w:szCs w:val="32"/>
          <w:lang w:val="en-US" w:eastAsia="zh-CN"/>
        </w:rPr>
        <w:t>工程量如下：</w:t>
      </w:r>
    </w:p>
    <w:tbl>
      <w:tblPr>
        <w:tblStyle w:val="5"/>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4"/>
        <w:gridCol w:w="1127"/>
        <w:gridCol w:w="851"/>
        <w:gridCol w:w="828"/>
        <w:gridCol w:w="828"/>
        <w:gridCol w:w="852"/>
        <w:gridCol w:w="2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单价(含税)</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总价(元)</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镀锌管</w:t>
            </w:r>
            <w:r>
              <w:rPr>
                <w:rStyle w:val="23"/>
                <w:rFonts w:eastAsia="宋体"/>
                <w:lang w:val="en-US" w:eastAsia="zh-CN" w:bidi="ar"/>
              </w:rPr>
              <w:t>80x80x2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val="en-US" w:eastAsia="zh-CN"/>
              </w:rPr>
              <w:t>抗风、抗压符合国标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镀锌管</w:t>
            </w:r>
            <w:r>
              <w:rPr>
                <w:rStyle w:val="23"/>
                <w:rFonts w:eastAsia="宋体"/>
                <w:lang w:val="en-US" w:eastAsia="zh-CN" w:bidi="ar"/>
              </w:rPr>
              <w:t>40x80x2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4"/>
                <w:szCs w:val="24"/>
                <w:u w:val="none"/>
              </w:rPr>
            </w:pPr>
            <w:r>
              <w:rPr>
                <w:rFonts w:hint="eastAsia" w:ascii="Calibri" w:hAnsi="Calibri" w:eastAsia="宋体" w:cs="Calibri"/>
                <w:i w:val="0"/>
                <w:color w:val="000000"/>
                <w:sz w:val="24"/>
                <w:szCs w:val="24"/>
                <w:u w:val="none"/>
                <w:lang w:val="en-US" w:eastAsia="zh-CN"/>
              </w:rPr>
              <w:t>抗风、抗压符合国标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镀锌管</w:t>
            </w:r>
            <w:r>
              <w:rPr>
                <w:rStyle w:val="23"/>
                <w:rFonts w:eastAsia="宋体"/>
                <w:lang w:val="en-US" w:eastAsia="zh-CN" w:bidi="ar"/>
              </w:rPr>
              <w:t>40x60x2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4"/>
                <w:szCs w:val="24"/>
                <w:u w:val="none"/>
              </w:rPr>
            </w:pPr>
            <w:r>
              <w:rPr>
                <w:rFonts w:hint="eastAsia" w:ascii="Calibri" w:hAnsi="Calibri" w:eastAsia="宋体" w:cs="Calibri"/>
                <w:i w:val="0"/>
                <w:color w:val="000000"/>
                <w:sz w:val="24"/>
                <w:szCs w:val="24"/>
                <w:u w:val="none"/>
                <w:lang w:val="en-US" w:eastAsia="zh-CN"/>
              </w:rPr>
              <w:t>抗风、抗压符合国标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树脂瓦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树脂瓦</w:t>
            </w:r>
            <w:r>
              <w:rPr>
                <w:rStyle w:val="23"/>
                <w:rFonts w:eastAsia="宋体"/>
                <w:lang w:val="en-US" w:eastAsia="zh-CN" w:bidi="ar"/>
              </w:rPr>
              <w:t>2.7</w:t>
            </w:r>
            <w:r>
              <w:rPr>
                <w:rStyle w:val="24"/>
                <w:lang w:val="en-US" w:eastAsia="zh-CN" w:bidi="ar"/>
              </w:rPr>
              <w:t>厚、正脊、斜脊、滴水、翘脚、盖帽等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屋顶隔热材料拆除与预置</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切割挖除隔热材料，预置支架钢板及固定，每块</w:t>
            </w:r>
            <w:r>
              <w:rPr>
                <w:rStyle w:val="23"/>
                <w:rFonts w:eastAsia="宋体"/>
                <w:lang w:val="en-US" w:eastAsia="zh-CN" w:bidi="ar"/>
              </w:rPr>
              <w:t>40*40*25</w:t>
            </w:r>
            <w:r>
              <w:rPr>
                <w:rStyle w:val="23"/>
                <w:rFonts w:hint="eastAsia" w:eastAsia="宋体"/>
                <w:lang w:val="en-US" w:eastAsia="zh-CN" w:bidi="ar"/>
              </w:rPr>
              <w:t>；置物块状间距相等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辅材</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切割片、焊条、油漆、膨胀丝等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人工费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550.97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含制作安装、高空高温做业等,其中包含施工保险。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工程机械费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550.97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含吊车、二保焊、运输等机械费用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10</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111290.02元</w:t>
            </w:r>
          </w:p>
        </w:tc>
      </w:tr>
    </w:tbl>
    <w:p>
      <w:pPr>
        <w:pStyle w:val="2"/>
        <w:rPr>
          <w:rFonts w:hint="default" w:hAnsi="宋体" w:eastAsia="宋体" w:cs="宋体"/>
          <w:sz w:val="32"/>
          <w:szCs w:val="32"/>
          <w:lang w:val="en-US" w:eastAsia="zh-CN"/>
        </w:rPr>
      </w:pPr>
    </w:p>
    <w:p>
      <w:pPr>
        <w:pStyle w:val="2"/>
      </w:pPr>
    </w:p>
    <w:p>
      <w:pPr>
        <w:spacing w:line="540" w:lineRule="exact"/>
        <w:rPr>
          <w:rFonts w:ascii="仿宋_GB2312" w:hAnsi="仿宋_GB2312" w:eastAsia="仿宋_GB2312" w:cs="仿宋_GB2312"/>
          <w:b/>
          <w:color w:val="000000"/>
          <w:sz w:val="36"/>
          <w:szCs w:val="36"/>
        </w:rPr>
      </w:pPr>
      <w:bookmarkStart w:id="0" w:name="_Toc515283184"/>
      <w:bookmarkStart w:id="1" w:name="_Toc515283513"/>
    </w:p>
    <w:p>
      <w:pPr>
        <w:spacing w:line="540" w:lineRule="exact"/>
        <w:ind w:firstLine="2530" w:firstLineChars="700"/>
        <w:rPr>
          <w:rFonts w:ascii="仿宋_GB2312" w:hAnsi="仿宋_GB2312" w:eastAsia="仿宋_GB2312" w:cs="仿宋_GB2312"/>
          <w:b/>
          <w:color w:val="000000"/>
          <w:sz w:val="36"/>
          <w:szCs w:val="36"/>
        </w:rPr>
      </w:pPr>
    </w:p>
    <w:p>
      <w:pPr>
        <w:spacing w:line="540" w:lineRule="exact"/>
        <w:ind w:firstLine="2530" w:firstLineChars="700"/>
        <w:rPr>
          <w:rFonts w:ascii="仿宋_GB2312" w:hAnsi="仿宋_GB2312" w:eastAsia="仿宋_GB2312" w:cs="仿宋_GB2312"/>
          <w:b/>
          <w:color w:val="000000"/>
          <w:sz w:val="36"/>
          <w:szCs w:val="36"/>
        </w:rPr>
      </w:pPr>
    </w:p>
    <w:p>
      <w:pPr>
        <w:spacing w:line="540" w:lineRule="exact"/>
        <w:ind w:firstLine="2530" w:firstLineChars="700"/>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第二部分  投标须知</w:t>
      </w:r>
      <w:bookmarkEnd w:id="0"/>
      <w:bookmarkEnd w:id="1"/>
    </w:p>
    <w:p>
      <w:pPr>
        <w:spacing w:line="540" w:lineRule="exact"/>
        <w:jc w:val="center"/>
        <w:rPr>
          <w:rFonts w:ascii="仿宋_GB2312" w:hAnsi="仿宋_GB2312" w:eastAsia="仿宋_GB2312" w:cs="仿宋_GB2312"/>
          <w:b/>
          <w:color w:val="000000"/>
          <w:sz w:val="30"/>
          <w:szCs w:val="30"/>
        </w:rPr>
      </w:pPr>
    </w:p>
    <w:p>
      <w:pPr>
        <w:rPr>
          <w:rFonts w:ascii="仿宋_GB2312" w:hAnsi="仿宋_GB2312" w:eastAsia="仿宋_GB2312" w:cs="仿宋_GB2312"/>
          <w:b/>
          <w:sz w:val="30"/>
          <w:szCs w:val="30"/>
        </w:rPr>
      </w:pPr>
      <w:r>
        <w:rPr>
          <w:rFonts w:hint="eastAsia" w:ascii="仿宋_GB2312" w:hAnsi="仿宋_GB2312" w:eastAsia="仿宋_GB2312" w:cs="仿宋_GB2312"/>
          <w:b/>
          <w:sz w:val="30"/>
          <w:szCs w:val="30"/>
        </w:rPr>
        <w:t>投标人须知前附表:</w:t>
      </w:r>
    </w:p>
    <w:tbl>
      <w:tblPr>
        <w:tblStyle w:val="5"/>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899"/>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6315" w:type="dxa"/>
            <w:vAlign w:val="center"/>
          </w:tcPr>
          <w:p>
            <w:pPr>
              <w:tabs>
                <w:tab w:val="left" w:pos="482"/>
              </w:tabs>
              <w:adjustRightInd w:val="0"/>
              <w:snapToGrid w:val="0"/>
              <w:spacing w:before="156" w:beforeLines="50" w:after="78" w:afterLines="25" w:line="300" w:lineRule="auto"/>
              <w:ind w:right="-1"/>
              <w:jc w:val="center"/>
              <w:rPr>
                <w:rFonts w:ascii="仿宋_GB2312" w:hAnsi="仿宋_GB2312" w:eastAsia="仿宋_GB2312" w:cs="仿宋_GB2312"/>
                <w:b/>
                <w:szCs w:val="21"/>
              </w:rPr>
            </w:pPr>
            <w:r>
              <w:rPr>
                <w:rFonts w:hint="eastAsia" w:ascii="仿宋_GB2312" w:hAnsi="仿宋_GB2312" w:eastAsia="仿宋_GB2312" w:cs="仿宋_GB2312"/>
                <w:b/>
                <w:szCs w:val="21"/>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招 标 人</w:t>
            </w:r>
          </w:p>
        </w:tc>
        <w:tc>
          <w:tcPr>
            <w:tcW w:w="6315" w:type="dxa"/>
            <w:vAlign w:val="center"/>
          </w:tcPr>
          <w:p>
            <w:pPr>
              <w:tabs>
                <w:tab w:val="left" w:pos="482"/>
              </w:tabs>
              <w:adjustRightInd w:val="0"/>
              <w:snapToGrid w:val="0"/>
              <w:spacing w:before="156" w:beforeLines="50" w:after="78" w:afterLines="25" w:line="300" w:lineRule="auto"/>
              <w:ind w:right="-1"/>
              <w:rPr>
                <w:rFonts w:ascii="仿宋_GB2312" w:hAnsi="仿宋_GB2312" w:eastAsia="仿宋_GB2312" w:cs="仿宋_GB2312"/>
                <w:szCs w:val="21"/>
              </w:rPr>
            </w:pPr>
            <w:r>
              <w:rPr>
                <w:rFonts w:hint="eastAsia" w:ascii="仿宋_GB2312" w:hAnsi="仿宋_GB2312" w:eastAsia="仿宋_GB2312" w:cs="仿宋_GB2312"/>
                <w:szCs w:val="21"/>
              </w:rPr>
              <w:t>洛阳市公路事业发展中心洛界高速公路管理处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shd w:val="clear" w:color="auto" w:fill="FFFFFF"/>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6315" w:type="dxa"/>
            <w:vAlign w:val="center"/>
          </w:tcPr>
          <w:p>
            <w:pPr>
              <w:tabs>
                <w:tab w:val="left" w:pos="482"/>
              </w:tabs>
              <w:adjustRightInd w:val="0"/>
              <w:snapToGrid w:val="0"/>
              <w:spacing w:before="156" w:beforeLines="50" w:after="78" w:afterLines="25" w:line="300" w:lineRule="auto"/>
              <w:rPr>
                <w:rFonts w:ascii="仿宋_GB2312" w:hAnsi="仿宋_GB2312" w:eastAsia="仿宋_GB2312" w:cs="仿宋_GB2312"/>
                <w:szCs w:val="21"/>
              </w:rPr>
            </w:pPr>
            <w:r>
              <w:rPr>
                <w:rFonts w:hint="eastAsia" w:ascii="仿宋_GB2312" w:hAnsi="仿宋_GB2312" w:eastAsia="仿宋_GB2312" w:cs="仿宋_GB2312"/>
                <w:szCs w:val="21"/>
              </w:rPr>
              <w:t>2021年汝阳站办公楼制作安装树脂瓦顶棚项目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招标方式</w:t>
            </w:r>
          </w:p>
        </w:tc>
        <w:tc>
          <w:tcPr>
            <w:tcW w:w="6315" w:type="dxa"/>
            <w:vAlign w:val="center"/>
          </w:tcPr>
          <w:p>
            <w:pPr>
              <w:tabs>
                <w:tab w:val="left" w:pos="482"/>
              </w:tabs>
              <w:adjustRightInd w:val="0"/>
              <w:snapToGrid w:val="0"/>
              <w:spacing w:before="156" w:beforeLines="50" w:after="78" w:afterLines="25" w:line="300" w:lineRule="auto"/>
              <w:ind w:right="-1"/>
              <w:rPr>
                <w:rFonts w:ascii="仿宋_GB2312" w:hAnsi="仿宋_GB2312" w:eastAsia="仿宋_GB2312" w:cs="仿宋_GB2312"/>
                <w:szCs w:val="21"/>
              </w:rPr>
            </w:pPr>
            <w:r>
              <w:rPr>
                <w:rFonts w:hint="eastAsia" w:ascii="仿宋_GB2312" w:hAnsi="仿宋_GB2312" w:eastAsia="仿宋_GB2312" w:cs="仿宋_GB2312"/>
                <w:color w:val="000000"/>
                <w:szCs w:val="21"/>
              </w:rPr>
              <w:t>邀请招标的方式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投标文件构成</w:t>
            </w:r>
          </w:p>
        </w:tc>
        <w:tc>
          <w:tcPr>
            <w:tcW w:w="6315" w:type="dxa"/>
            <w:vAlign w:val="center"/>
          </w:tcPr>
          <w:p>
            <w:pPr>
              <w:pStyle w:val="17"/>
              <w:widowControl/>
              <w:numPr>
                <w:ilvl w:val="0"/>
                <w:numId w:val="1"/>
              </w:numPr>
              <w:tabs>
                <w:tab w:val="left" w:pos="612"/>
              </w:tabs>
              <w:ind w:right="-37" w:firstLineChars="0"/>
              <w:rPr>
                <w:rFonts w:ascii="仿宋_GB2312" w:hAnsi="仿宋_GB2312" w:eastAsia="仿宋_GB2312" w:cs="仿宋_GB2312"/>
                <w:szCs w:val="21"/>
              </w:rPr>
            </w:pPr>
            <w:r>
              <w:rPr>
                <w:rFonts w:hint="eastAsia" w:ascii="仿宋_GB2312" w:hAnsi="仿宋_GB2312" w:eastAsia="仿宋_GB2312" w:cs="仿宋_GB2312"/>
                <w:szCs w:val="21"/>
              </w:rPr>
              <w:t>投标函；</w:t>
            </w:r>
          </w:p>
          <w:p>
            <w:pPr>
              <w:widowControl/>
              <w:tabs>
                <w:tab w:val="left" w:pos="612"/>
              </w:tabs>
              <w:ind w:right="-37"/>
              <w:rPr>
                <w:rFonts w:ascii="仿宋_GB2312" w:hAnsi="仿宋_GB2312" w:eastAsia="仿宋_GB2312" w:cs="仿宋_GB2312"/>
                <w:szCs w:val="21"/>
              </w:rPr>
            </w:pPr>
            <w:r>
              <w:rPr>
                <w:rFonts w:hint="eastAsia" w:ascii="仿宋_GB2312" w:hAnsi="仿宋_GB2312" w:eastAsia="仿宋_GB2312" w:cs="仿宋_GB2312"/>
                <w:szCs w:val="21"/>
              </w:rPr>
              <w:t xml:space="preserve">    2、法定代表人身份证复印件及法定代表人投标授权委托书、委托代理人身份证复印件；</w:t>
            </w:r>
          </w:p>
          <w:p>
            <w:pPr>
              <w:pStyle w:val="17"/>
              <w:widowControl/>
              <w:numPr>
                <w:ilvl w:val="0"/>
                <w:numId w:val="2"/>
              </w:numPr>
              <w:tabs>
                <w:tab w:val="left" w:pos="612"/>
              </w:tabs>
              <w:ind w:right="-37" w:firstLineChars="0"/>
              <w:rPr>
                <w:rFonts w:ascii="仿宋_GB2312" w:hAnsi="仿宋_GB2312" w:eastAsia="仿宋_GB2312" w:cs="仿宋_GB2312"/>
                <w:szCs w:val="21"/>
              </w:rPr>
            </w:pPr>
            <w:r>
              <w:rPr>
                <w:rFonts w:hint="eastAsia" w:ascii="仿宋_GB2312" w:hAnsi="仿宋_GB2312" w:eastAsia="仿宋_GB2312" w:cs="仿宋_GB2312"/>
                <w:szCs w:val="21"/>
              </w:rPr>
              <w:t>投标书；</w:t>
            </w:r>
          </w:p>
          <w:p>
            <w:pPr>
              <w:pStyle w:val="17"/>
              <w:widowControl/>
              <w:tabs>
                <w:tab w:val="left" w:pos="612"/>
              </w:tabs>
              <w:ind w:right="-37"/>
              <w:rPr>
                <w:rFonts w:hint="eastAsia" w:ascii="仿宋_GB2312" w:hAnsi="仿宋_GB2312" w:eastAsia="仿宋_GB2312" w:cs="仿宋_GB2312"/>
                <w:szCs w:val="21"/>
              </w:rPr>
            </w:pPr>
            <w:r>
              <w:rPr>
                <w:rFonts w:hint="eastAsia" w:ascii="仿宋_GB2312" w:hAnsi="仿宋_GB2312" w:eastAsia="仿宋_GB2312" w:cs="仿宋_GB2312"/>
                <w:szCs w:val="21"/>
              </w:rPr>
              <w:t>4、2021年汝阳站办公楼制作安装树脂瓦顶棚项目报价书；</w:t>
            </w:r>
          </w:p>
          <w:p>
            <w:pPr>
              <w:pStyle w:val="17"/>
              <w:widowControl/>
              <w:numPr>
                <w:ilvl w:val="0"/>
                <w:numId w:val="2"/>
              </w:numPr>
              <w:tabs>
                <w:tab w:val="left" w:pos="612"/>
              </w:tabs>
              <w:ind w:right="-37" w:firstLineChars="0"/>
              <w:rPr>
                <w:rFonts w:ascii="仿宋_GB2312" w:hAnsi="仿宋_GB2312" w:eastAsia="仿宋_GB2312" w:cs="仿宋_GB2312"/>
                <w:szCs w:val="21"/>
              </w:rPr>
            </w:pPr>
            <w:r>
              <w:rPr>
                <w:rFonts w:hint="eastAsia" w:ascii="仿宋_GB2312" w:hAnsi="仿宋_GB2312" w:eastAsia="仿宋_GB2312" w:cs="仿宋_GB2312"/>
                <w:szCs w:val="21"/>
              </w:rPr>
              <w:t>企业营业执照复印件；</w:t>
            </w:r>
          </w:p>
          <w:p>
            <w:pPr>
              <w:widowControl/>
              <w:tabs>
                <w:tab w:val="left" w:pos="612"/>
              </w:tabs>
              <w:ind w:right="-37"/>
              <w:rPr>
                <w:rFonts w:ascii="仿宋_GB2312" w:hAnsi="仿宋_GB2312" w:eastAsia="仿宋_GB2312" w:cs="仿宋_GB2312"/>
                <w:szCs w:val="21"/>
              </w:rPr>
            </w:pPr>
            <w:r>
              <w:rPr>
                <w:rFonts w:hint="eastAsia" w:ascii="仿宋_GB2312" w:hAnsi="仿宋_GB2312" w:eastAsia="仿宋_GB2312" w:cs="仿宋_GB2312"/>
                <w:szCs w:val="21"/>
              </w:rPr>
              <w:t xml:space="preserve">    6、相关资质证书复印件（近三年业绩情况）；</w:t>
            </w:r>
          </w:p>
          <w:p>
            <w:pPr>
              <w:widowControl/>
              <w:tabs>
                <w:tab w:val="left" w:pos="612"/>
              </w:tabs>
              <w:ind w:right="-37"/>
              <w:rPr>
                <w:rFonts w:ascii="仿宋_GB2312" w:hAnsi="仿宋_GB2312" w:eastAsia="仿宋_GB2312" w:cs="仿宋_GB2312"/>
                <w:szCs w:val="21"/>
              </w:rPr>
            </w:pPr>
            <w:r>
              <w:rPr>
                <w:rFonts w:hint="eastAsia" w:ascii="仿宋_GB2312" w:hAnsi="仿宋_GB2312" w:eastAsia="仿宋_GB2312" w:cs="仿宋_GB2312"/>
                <w:szCs w:val="21"/>
              </w:rPr>
              <w:t xml:space="preserve">    7、其他投标人认为必要的资料。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投标文件份数</w:t>
            </w:r>
          </w:p>
        </w:tc>
        <w:tc>
          <w:tcPr>
            <w:tcW w:w="6315" w:type="dxa"/>
            <w:vAlign w:val="center"/>
          </w:tcPr>
          <w:p>
            <w:pPr>
              <w:tabs>
                <w:tab w:val="left" w:pos="482"/>
              </w:tabs>
              <w:adjustRightInd w:val="0"/>
              <w:snapToGrid w:val="0"/>
              <w:spacing w:before="156" w:beforeLines="50" w:after="78" w:afterLines="25" w:line="300" w:lineRule="auto"/>
              <w:ind w:right="-1"/>
              <w:rPr>
                <w:rFonts w:ascii="仿宋_GB2312" w:hAnsi="仿宋_GB2312" w:eastAsia="仿宋_GB2312" w:cs="仿宋_GB2312"/>
                <w:b/>
                <w:szCs w:val="21"/>
              </w:rPr>
            </w:pPr>
            <w:r>
              <w:rPr>
                <w:rFonts w:hint="eastAsia" w:ascii="仿宋_GB2312" w:hAnsi="仿宋_GB2312" w:eastAsia="仿宋_GB2312" w:cs="仿宋_GB2312"/>
                <w:szCs w:val="21"/>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18" w:type="dxa"/>
            <w:vMerge w:val="restart"/>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899" w:type="dxa"/>
            <w:vMerge w:val="restart"/>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装订要求</w:t>
            </w:r>
          </w:p>
        </w:tc>
        <w:tc>
          <w:tcPr>
            <w:tcW w:w="63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（1）投标文件中的正本与副本应分别装订成册，并编制目录。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18" w:type="dxa"/>
            <w:vMerge w:val="continue"/>
            <w:vAlign w:val="center"/>
          </w:tcPr>
          <w:p>
            <w:pPr>
              <w:numPr>
                <w:ilvl w:val="0"/>
                <w:numId w:val="3"/>
              </w:numPr>
              <w:tabs>
                <w:tab w:val="left" w:pos="482"/>
              </w:tabs>
              <w:adjustRightInd w:val="0"/>
              <w:snapToGrid w:val="0"/>
              <w:spacing w:line="288" w:lineRule="auto"/>
              <w:ind w:right="-101"/>
              <w:jc w:val="center"/>
              <w:rPr>
                <w:rFonts w:ascii="仿宋_GB2312" w:hAnsi="仿宋_GB2312" w:eastAsia="仿宋_GB2312" w:cs="仿宋_GB2312"/>
                <w:szCs w:val="21"/>
              </w:rPr>
            </w:pPr>
          </w:p>
        </w:tc>
        <w:tc>
          <w:tcPr>
            <w:tcW w:w="1899" w:type="dxa"/>
            <w:vMerge w:val="continue"/>
            <w:vAlign w:val="center"/>
          </w:tcPr>
          <w:p>
            <w:pPr>
              <w:tabs>
                <w:tab w:val="left" w:pos="-108"/>
              </w:tabs>
              <w:spacing w:line="288" w:lineRule="auto"/>
              <w:ind w:left="-113" w:leftChars="-54"/>
              <w:jc w:val="center"/>
              <w:rPr>
                <w:rFonts w:ascii="仿宋_GB2312" w:hAnsi="仿宋_GB2312" w:eastAsia="仿宋_GB2312" w:cs="仿宋_GB2312"/>
                <w:szCs w:val="21"/>
              </w:rPr>
            </w:pPr>
          </w:p>
        </w:tc>
        <w:tc>
          <w:tcPr>
            <w:tcW w:w="6315"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（2）投标文件应使用A4纸装订成册，内页双面打印或印刷，并有外层包装以防损坏。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18" w:type="dxa"/>
            <w:vMerge w:val="continue"/>
            <w:vAlign w:val="center"/>
          </w:tcPr>
          <w:p>
            <w:pPr>
              <w:numPr>
                <w:ilvl w:val="0"/>
                <w:numId w:val="3"/>
              </w:numPr>
              <w:tabs>
                <w:tab w:val="left" w:pos="482"/>
              </w:tabs>
              <w:adjustRightInd w:val="0"/>
              <w:snapToGrid w:val="0"/>
              <w:spacing w:line="288" w:lineRule="auto"/>
              <w:ind w:right="-101"/>
              <w:jc w:val="center"/>
              <w:rPr>
                <w:rFonts w:ascii="仿宋_GB2312" w:hAnsi="仿宋_GB2312" w:eastAsia="仿宋_GB2312" w:cs="仿宋_GB2312"/>
                <w:szCs w:val="21"/>
              </w:rPr>
            </w:pPr>
          </w:p>
        </w:tc>
        <w:tc>
          <w:tcPr>
            <w:tcW w:w="1899" w:type="dxa"/>
            <w:vMerge w:val="continue"/>
            <w:vAlign w:val="center"/>
          </w:tcPr>
          <w:p>
            <w:pPr>
              <w:tabs>
                <w:tab w:val="left" w:pos="-108"/>
              </w:tabs>
              <w:spacing w:line="288" w:lineRule="auto"/>
              <w:ind w:left="-113" w:leftChars="-54"/>
              <w:jc w:val="center"/>
              <w:rPr>
                <w:rFonts w:ascii="仿宋_GB2312" w:hAnsi="仿宋_GB2312" w:eastAsia="仿宋_GB2312" w:cs="仿宋_GB2312"/>
                <w:szCs w:val="21"/>
              </w:rPr>
            </w:pPr>
          </w:p>
        </w:tc>
        <w:tc>
          <w:tcPr>
            <w:tcW w:w="6315"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（3）投标文件（含正、副本）首页需加盖公章，并一起装在同一个外层包装内，外层包装也需密封和加盖公章。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899" w:type="dxa"/>
            <w:vAlign w:val="center"/>
          </w:tcPr>
          <w:p>
            <w:pPr>
              <w:adjustRightInd w:val="0"/>
              <w:snapToGrid w:val="0"/>
              <w:spacing w:line="288" w:lineRule="auto"/>
              <w:jc w:val="center"/>
              <w:rPr>
                <w:rFonts w:ascii="仿宋_GB2312" w:hAnsi="仿宋_GB2312" w:eastAsia="仿宋_GB2312" w:cs="仿宋_GB2312"/>
                <w:szCs w:val="21"/>
              </w:rPr>
            </w:pPr>
            <w:r>
              <w:rPr>
                <w:rFonts w:hint="eastAsia" w:ascii="仿宋_GB2312" w:hAnsi="仿宋_GB2312" w:eastAsia="仿宋_GB2312" w:cs="仿宋_GB2312"/>
                <w:szCs w:val="21"/>
              </w:rPr>
              <w:t>签字或盖章</w:t>
            </w:r>
          </w:p>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要求</w:t>
            </w:r>
          </w:p>
        </w:tc>
        <w:tc>
          <w:tcPr>
            <w:tcW w:w="6315" w:type="dxa"/>
            <w:vAlign w:val="center"/>
          </w:tcPr>
          <w:p>
            <w:pPr>
              <w:adjustRightInd w:val="0"/>
              <w:snapToGrid w:val="0"/>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纸质投标文件按招标文件要求在规定处签字并加盖公章。</w:t>
            </w:r>
          </w:p>
          <w:p>
            <w:pPr>
              <w:jc w:val="left"/>
              <w:rPr>
                <w:rFonts w:ascii="仿宋_GB2312" w:hAnsi="仿宋_GB2312" w:eastAsia="仿宋_GB2312" w:cs="仿宋_GB2312"/>
                <w:szCs w:val="21"/>
              </w:rPr>
            </w:pPr>
            <w:r>
              <w:rPr>
                <w:rFonts w:hint="eastAsia" w:ascii="仿宋_GB2312" w:hAnsi="仿宋_GB2312" w:eastAsia="仿宋_GB2312" w:cs="仿宋_GB2312"/>
                <w:szCs w:val="21"/>
              </w:rPr>
              <w:t>投标人法定代表人授权书必须加盖公章，并且由投标人法定代表人签字（或签章）和其授权投标代表人签字。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澄清（答疑）</w:t>
            </w:r>
          </w:p>
        </w:tc>
        <w:tc>
          <w:tcPr>
            <w:tcW w:w="6315" w:type="dxa"/>
            <w:vAlign w:val="center"/>
          </w:tcPr>
          <w:p>
            <w:pPr>
              <w:adjustRightInd w:val="0"/>
              <w:snapToGrid w:val="0"/>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投标人对招标文件如有疑问可于2021年</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26</w:t>
            </w:r>
            <w:r>
              <w:rPr>
                <w:rFonts w:hint="eastAsia" w:ascii="仿宋_GB2312" w:hAnsi="仿宋_GB2312" w:eastAsia="仿宋_GB2312" w:cs="仿宋_GB2312"/>
                <w:szCs w:val="21"/>
              </w:rPr>
              <w:t>日下午16时前发送邮件至招标联系人（联系人：董媛媛，邮箱: ljgsgl@163.com；） ，招标人将通过书面形式进行澄清。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递交投标确认函</w:t>
            </w:r>
          </w:p>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时间</w:t>
            </w:r>
          </w:p>
        </w:tc>
        <w:tc>
          <w:tcPr>
            <w:tcW w:w="6315" w:type="dxa"/>
            <w:vAlign w:val="center"/>
          </w:tcPr>
          <w:p>
            <w:pPr>
              <w:adjustRightInd w:val="0"/>
              <w:snapToGrid w:val="0"/>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请于2021年</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月29日下午16：00时前将盖有公章的投标确认函递交招标联系人。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899" w:type="dxa"/>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投标截止时间和</w:t>
            </w:r>
          </w:p>
          <w:p>
            <w:pPr>
              <w:tabs>
                <w:tab w:val="left" w:pos="482"/>
              </w:tabs>
              <w:spacing w:line="288" w:lineRule="auto"/>
              <w:ind w:right="-1"/>
              <w:jc w:val="center"/>
              <w:rPr>
                <w:rFonts w:ascii="仿宋_GB2312" w:hAnsi="仿宋_GB2312" w:eastAsia="仿宋_GB2312" w:cs="仿宋_GB2312"/>
                <w:szCs w:val="21"/>
              </w:rPr>
            </w:pPr>
            <w:r>
              <w:rPr>
                <w:rFonts w:hint="eastAsia" w:ascii="仿宋_GB2312" w:hAnsi="仿宋_GB2312" w:eastAsia="仿宋_GB2312" w:cs="仿宋_GB2312"/>
                <w:szCs w:val="21"/>
              </w:rPr>
              <w:t>投标文件递交地点</w:t>
            </w:r>
          </w:p>
        </w:tc>
        <w:tc>
          <w:tcPr>
            <w:tcW w:w="6315" w:type="dxa"/>
            <w:vAlign w:val="center"/>
          </w:tcPr>
          <w:p>
            <w:pPr>
              <w:adjustRightInd w:val="0"/>
              <w:snapToGrid w:val="0"/>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投标人须于2021年</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月30日上午9:00时前将完整的投标文件递交至洛阳市公路管理局洛界高速公路管理处，地址：洛阳市瀍河区瀍河收费站洛界高速公路办公楼215房间。</w:t>
            </w:r>
          </w:p>
          <w:p>
            <w:pPr>
              <w:adjustRightInd w:val="0"/>
              <w:snapToGrid w:val="0"/>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联系人及联系电话：董媛媛，0379-63208178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899" w:type="dxa"/>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开标时间和地点</w:t>
            </w:r>
          </w:p>
        </w:tc>
        <w:tc>
          <w:tcPr>
            <w:tcW w:w="6315" w:type="dxa"/>
            <w:vAlign w:val="center"/>
          </w:tcPr>
          <w:p>
            <w:pPr>
              <w:tabs>
                <w:tab w:val="left" w:pos="482"/>
              </w:tabs>
              <w:spacing w:before="156" w:beforeLines="50" w:after="78" w:afterLines="25" w:line="300" w:lineRule="auto"/>
              <w:ind w:right="-1"/>
              <w:jc w:val="left"/>
              <w:rPr>
                <w:rFonts w:ascii="仿宋_GB2312" w:hAnsi="仿宋_GB2312" w:eastAsia="仿宋_GB2312" w:cs="仿宋_GB2312"/>
                <w:szCs w:val="21"/>
              </w:rPr>
            </w:pPr>
            <w:r>
              <w:rPr>
                <w:rFonts w:hint="eastAsia" w:ascii="仿宋_GB2312" w:hAnsi="仿宋_GB2312" w:eastAsia="仿宋_GB2312" w:cs="仿宋_GB2312"/>
                <w:szCs w:val="21"/>
              </w:rPr>
              <w:t>2021年</w:t>
            </w: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日上午9:30（同投标截止时间），在洛阳市公路管理局洛界高速公路管理处会议室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899" w:type="dxa"/>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述标时间</w:t>
            </w:r>
          </w:p>
        </w:tc>
        <w:tc>
          <w:tcPr>
            <w:tcW w:w="6315" w:type="dxa"/>
            <w:vAlign w:val="center"/>
          </w:tcPr>
          <w:p>
            <w:pPr>
              <w:tabs>
                <w:tab w:val="left" w:pos="482"/>
              </w:tabs>
              <w:spacing w:before="156" w:beforeLines="50" w:after="78" w:afterLines="25" w:line="300" w:lineRule="auto"/>
              <w:ind w:right="-1"/>
              <w:jc w:val="left"/>
              <w:rPr>
                <w:rFonts w:ascii="仿宋_GB2312" w:hAnsi="仿宋_GB2312" w:eastAsia="仿宋_GB2312" w:cs="仿宋_GB2312"/>
                <w:szCs w:val="21"/>
              </w:rPr>
            </w:pPr>
            <w:r>
              <w:rPr>
                <w:rFonts w:hint="eastAsia" w:ascii="仿宋_GB2312" w:hAnsi="仿宋_GB2312" w:eastAsia="仿宋_GB2312" w:cs="仿宋_GB2312"/>
                <w:szCs w:val="21"/>
              </w:rPr>
              <w:t>2021年</w:t>
            </w: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日上午9:30—10:00，安排投标单位述标，述标地点在洛界高速公路管理处会议室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899" w:type="dxa"/>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评标办法及时间</w:t>
            </w:r>
          </w:p>
        </w:tc>
        <w:tc>
          <w:tcPr>
            <w:tcW w:w="6315" w:type="dxa"/>
            <w:vAlign w:val="center"/>
          </w:tcPr>
          <w:p>
            <w:pPr>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评标方法采用竞争性谈判，时间为2021年</w:t>
            </w: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日上午10:00。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1899" w:type="dxa"/>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中标通知方式    及时间</w:t>
            </w:r>
          </w:p>
        </w:tc>
        <w:tc>
          <w:tcPr>
            <w:tcW w:w="6315" w:type="dxa"/>
            <w:vAlign w:val="center"/>
          </w:tcPr>
          <w:p>
            <w:pPr>
              <w:tabs>
                <w:tab w:val="left" w:pos="482"/>
              </w:tabs>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2021年</w:t>
            </w: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日公示评标结果，在2021年</w:t>
            </w:r>
            <w:r>
              <w:rPr>
                <w:rFonts w:hint="eastAsia" w:ascii="仿宋_GB2312" w:hAnsi="仿宋_GB2312" w:eastAsia="仿宋_GB2312" w:cs="仿宋_GB2312"/>
                <w:szCs w:val="21"/>
                <w:lang w:val="en-US" w:eastAsia="zh-CN"/>
              </w:rPr>
              <w:t>10</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13</w:t>
            </w:r>
            <w:r>
              <w:rPr>
                <w:rFonts w:hint="eastAsia" w:ascii="仿宋_GB2312" w:hAnsi="仿宋_GB2312" w:eastAsia="仿宋_GB2312" w:cs="仿宋_GB2312"/>
                <w:szCs w:val="21"/>
              </w:rPr>
              <w:t>日前以书面形式发出中标通知(开标次日公示评标结果公示期三天）</w:t>
            </w:r>
          </w:p>
        </w:tc>
      </w:tr>
    </w:tbl>
    <w:p>
      <w:pPr>
        <w:widowControl/>
        <w:adjustRightInd w:val="0"/>
        <w:snapToGrid w:val="0"/>
        <w:spacing w:line="360" w:lineRule="auto"/>
        <w:ind w:firstLine="602" w:firstLineChars="200"/>
        <w:jc w:val="left"/>
        <w:rPr>
          <w:rFonts w:ascii="仿宋_GB2312" w:hAnsi="仿宋_GB2312" w:eastAsia="仿宋_GB2312" w:cs="仿宋_GB2312"/>
          <w:b/>
          <w:color w:val="000000"/>
          <w:sz w:val="30"/>
          <w:szCs w:val="30"/>
        </w:rPr>
      </w:pPr>
      <w:bookmarkStart w:id="2" w:name="_Toc269736810"/>
      <w:bookmarkStart w:id="3" w:name="_Toc274733396"/>
      <w:bookmarkStart w:id="4" w:name="_Toc270350680"/>
      <w:bookmarkStart w:id="5" w:name="_Toc269735269"/>
      <w:bookmarkStart w:id="6" w:name="_Toc304360243"/>
      <w:bookmarkStart w:id="7" w:name="_Toc269462892"/>
    </w:p>
    <w:p>
      <w:pPr>
        <w:widowControl/>
        <w:adjustRightInd w:val="0"/>
        <w:snapToGrid w:val="0"/>
        <w:spacing w:line="360" w:lineRule="auto"/>
        <w:ind w:firstLine="602" w:firstLineChars="200"/>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一、招标方式</w:t>
      </w:r>
    </w:p>
    <w:p>
      <w:pPr>
        <w:widowControl/>
        <w:adjustRightInd w:val="0"/>
        <w:snapToGrid w:val="0"/>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本次招标采用邀请招标的方式，各受邀单位收到邀标函后可根据自身情况决定是否参与投标。中标单位不得以任何形式将中标项目对外转包、分包。</w:t>
      </w:r>
    </w:p>
    <w:p>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二、投标人资质要求</w:t>
      </w:r>
    </w:p>
    <w:p>
      <w:pPr>
        <w:spacing w:line="360" w:lineRule="auto"/>
        <w:ind w:firstLine="600" w:firstLineChars="200"/>
        <w:rPr>
          <w:rFonts w:ascii="仿宋" w:hAnsi="仿宋" w:eastAsia="仿宋" w:cs="仿宋"/>
          <w:sz w:val="30"/>
          <w:szCs w:val="30"/>
        </w:rPr>
      </w:pPr>
      <w:r>
        <w:rPr>
          <w:rFonts w:hint="eastAsia" w:ascii="仿宋_GB2312" w:hAnsi="仿宋_GB2312" w:eastAsia="仿宋_GB2312" w:cs="仿宋_GB2312"/>
          <w:sz w:val="30"/>
          <w:szCs w:val="30"/>
        </w:rPr>
        <w:t>1、投标人须符合《建筑法》关于法人受托机构应当具备的条件，</w:t>
      </w:r>
      <w:r>
        <w:rPr>
          <w:rFonts w:hint="eastAsia" w:ascii="仿宋_GB2312" w:hAnsi="仿宋_GB2312" w:eastAsia="仿宋_GB2312" w:cs="仿宋_GB2312"/>
          <w:sz w:val="30"/>
          <w:szCs w:val="30"/>
          <w:lang w:val="en-US" w:eastAsia="zh-CN"/>
        </w:rPr>
        <w:t>经营范围内包含钢结构工程</w:t>
      </w:r>
      <w:r>
        <w:rPr>
          <w:rFonts w:hint="eastAsia" w:ascii="仿宋" w:hAnsi="仿宋" w:eastAsia="仿宋" w:cs="仿宋"/>
          <w:sz w:val="30"/>
          <w:szCs w:val="30"/>
        </w:rPr>
        <w:t>。</w:t>
      </w:r>
      <w:bookmarkStart w:id="9" w:name="_GoBack"/>
      <w:bookmarkEnd w:id="9"/>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2、投标人代表必须是经合法</w:t>
      </w:r>
      <w:r>
        <w:rPr>
          <w:rFonts w:hint="eastAsia" w:ascii="仿宋_GB2312" w:hAnsi="仿宋_GB2312" w:eastAsia="仿宋_GB2312" w:cs="仿宋_GB2312"/>
          <w:sz w:val="30"/>
          <w:szCs w:val="30"/>
          <w:u w:val="none"/>
        </w:rPr>
        <w:t>授</w:t>
      </w:r>
      <w:r>
        <w:rPr>
          <w:rFonts w:hint="eastAsia" w:ascii="仿宋_GB2312" w:hAnsi="仿宋_GB2312" w:eastAsia="仿宋_GB2312" w:cs="仿宋_GB2312"/>
          <w:sz w:val="30"/>
          <w:szCs w:val="30"/>
        </w:rPr>
        <w:t>权的、能够完全代表投标人行为的代表人，一旦响应文件被认定，投标人必须按照响应文件的承诺履行受托服务职责。</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3、投标人应详细阅读本招标文件的全部内容,并保证所提供的全部响应资料的真实性,以便做出实质性响应；不按招标文件的要求提供的响应文件和资料,将可能导致投标人被拒绝或被宣布作废。</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4、本项目不接受联合体的投标。</w:t>
      </w:r>
    </w:p>
    <w:p>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b/>
          <w:color w:val="000000"/>
          <w:sz w:val="30"/>
          <w:szCs w:val="30"/>
        </w:rPr>
        <w:t xml:space="preserve">    三、投标说明 </w:t>
      </w:r>
    </w:p>
    <w:p>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（一）招标文件</w:t>
      </w:r>
    </w:p>
    <w:p>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完整的招标文件包括有：</w:t>
      </w:r>
    </w:p>
    <w:p>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1、招标项目简介</w:t>
      </w:r>
    </w:p>
    <w:p>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2、投标须知</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3、投标书内容</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4、评标标准</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5、投标文件表格式样和附表</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投标人均应详阅所有招标文件，任何未按该招标文件需求信息提供或提供不充分的投标文件，将被视作弃标。</w:t>
      </w:r>
    </w:p>
    <w:p>
      <w:pPr>
        <w:adjustRightInd w:val="0"/>
        <w:snapToGrid w:val="0"/>
        <w:spacing w:line="360" w:lineRule="auto"/>
        <w:ind w:firstLine="602" w:firstLineChars="200"/>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（二）投标文件的组成</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投标文件要包括以下内容：</w:t>
      </w:r>
    </w:p>
    <w:p>
      <w:pPr>
        <w:pStyle w:val="18"/>
        <w:snapToGrid w:val="0"/>
        <w:spacing w:line="640" w:lineRule="exact"/>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1、投标函；</w:t>
      </w:r>
    </w:p>
    <w:p>
      <w:pPr>
        <w:pStyle w:val="18"/>
        <w:snapToGrid w:val="0"/>
        <w:spacing w:line="640" w:lineRule="exact"/>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2、法定代表人身份证复印件及法定代表人投标授权委托书、委托代理人身份证复印件；</w:t>
      </w:r>
    </w:p>
    <w:p>
      <w:pPr>
        <w:pStyle w:val="18"/>
        <w:snapToGrid w:val="0"/>
        <w:spacing w:line="640" w:lineRule="exact"/>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3、投标书；</w:t>
      </w:r>
    </w:p>
    <w:p>
      <w:pPr>
        <w:snapToGrid w:val="0"/>
        <w:spacing w:line="640" w:lineRule="exact"/>
        <w:ind w:firstLine="600"/>
        <w:rPr>
          <w:rFonts w:ascii="仿宋" w:hAnsi="仿宋" w:eastAsia="仿宋" w:cs="仿宋"/>
          <w:color w:val="000000"/>
          <w:sz w:val="32"/>
          <w:szCs w:val="32"/>
        </w:rPr>
      </w:pPr>
      <w:r>
        <w:rPr>
          <w:rFonts w:hint="eastAsia" w:ascii="仿宋" w:hAnsi="仿宋" w:eastAsia="仿宋" w:cs="仿宋"/>
          <w:color w:val="000000"/>
          <w:sz w:val="32"/>
          <w:szCs w:val="32"/>
        </w:rPr>
        <w:t>4、报价资料</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p>
    <w:p>
      <w:pPr>
        <w:snapToGrid w:val="0"/>
        <w:spacing w:line="640" w:lineRule="exact"/>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5、企业营业执照复印件；</w:t>
      </w:r>
    </w:p>
    <w:p>
      <w:pPr>
        <w:adjustRightInd w:val="0"/>
        <w:snapToGrid w:val="0"/>
        <w:spacing w:line="640" w:lineRule="exact"/>
        <w:ind w:firstLine="57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6、其他投标人认为必要的资料。</w:t>
      </w:r>
    </w:p>
    <w:p>
      <w:pPr>
        <w:pStyle w:val="18"/>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（三）投标文件书格式和签署</w:t>
      </w:r>
    </w:p>
    <w:p>
      <w:pPr>
        <w:pStyle w:val="18"/>
        <w:snapToGrid w:val="0"/>
        <w:spacing w:line="360" w:lineRule="auto"/>
        <w:ind w:left="105" w:leftChars="5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b w:val="0"/>
          <w:color w:val="000000"/>
          <w:sz w:val="30"/>
          <w:szCs w:val="30"/>
        </w:rPr>
        <w:t>1、投标文件需要法定代表人或其授权代表签字并加盖公章和骑缝章。</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2、除投标人对错漏之处做必要修改或者补充外，全套投标文件不得有随意的行间插字、涂改和增删。如确有修改，修改处应由投标人法定代表人或其授权委托人在修改或补充处签字并加盖公章。</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3、投标文件一式三份。其中正本一份，副本两份，如正、副本有不符之处，以正本为准。</w:t>
      </w:r>
    </w:p>
    <w:p>
      <w:pPr>
        <w:pStyle w:val="18"/>
        <w:snapToGrid w:val="0"/>
        <w:spacing w:line="360" w:lineRule="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4、投标文件的正本与副本应分别装订成册，并编制目录。</w:t>
      </w:r>
    </w:p>
    <w:p>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（四）投标文件的密封与标记</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1、投标文件应使用A4纸装订，内页双面打印或印刷，并有外层包装以防损坏。</w:t>
      </w:r>
    </w:p>
    <w:p>
      <w:pPr>
        <w:adjustRightInd w:val="0"/>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2、投标文件（含正、副本）首页需加盖公章，并一起装在同一个外层包装内，外层包装也需密封和加盖公章。</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3、外层包装应有如下识别标志：</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（1）项目名称：2021年汝阳站办公楼制作安装树脂瓦顶棚项目</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（2）招标人：洛阳市公路事业发展中心洛界高速公路管理处</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4、外层包装须用封条密封，封条须写有投标人名称并加盖公章。</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5、未按上述要求密封和加写标记的投标文件，招标人不承担放错而错失开标或泄密的责任。</w:t>
      </w:r>
    </w:p>
    <w:p>
      <w:pPr>
        <w:pStyle w:val="18"/>
        <w:tabs>
          <w:tab w:val="clear" w:pos="360"/>
        </w:tabs>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（五）投标截止日期</w:t>
      </w:r>
    </w:p>
    <w:p>
      <w:pPr>
        <w:pStyle w:val="18"/>
        <w:snapToGrid w:val="0"/>
        <w:spacing w:line="360" w:lineRule="auto"/>
        <w:ind w:left="178" w:leftChars="85" w:firstLine="450" w:firstLineChars="15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投标文件原件要在2021年</w:t>
      </w:r>
      <w:r>
        <w:rPr>
          <w:rFonts w:hint="eastAsia" w:ascii="仿宋_GB2312" w:hAnsi="仿宋_GB2312" w:eastAsia="仿宋_GB2312" w:cs="仿宋_GB2312"/>
          <w:b w:val="0"/>
          <w:color w:val="000000"/>
          <w:sz w:val="30"/>
          <w:szCs w:val="30"/>
          <w:lang w:val="en-US" w:eastAsia="zh-CN"/>
        </w:rPr>
        <w:t>9</w:t>
      </w:r>
      <w:r>
        <w:rPr>
          <w:rFonts w:hint="eastAsia" w:ascii="仿宋_GB2312" w:hAnsi="仿宋_GB2312" w:eastAsia="仿宋_GB2312" w:cs="仿宋_GB2312"/>
          <w:b w:val="0"/>
          <w:color w:val="000000"/>
          <w:sz w:val="30"/>
          <w:szCs w:val="30"/>
        </w:rPr>
        <w:t>月30日上午9：30时之前送达到招标人。</w:t>
      </w:r>
    </w:p>
    <w:p>
      <w:pPr>
        <w:pStyle w:val="18"/>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（六）迟标</w:t>
      </w:r>
    </w:p>
    <w:p>
      <w:pPr>
        <w:pStyle w:val="18"/>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如在投标截止日期后收到的投标文件，将被视做“迟标”；招标人将不拆封退回标书给投标人。</w:t>
      </w:r>
    </w:p>
    <w:p>
      <w:pPr>
        <w:pStyle w:val="18"/>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（七）投标文件修订</w:t>
      </w:r>
    </w:p>
    <w:p>
      <w:pPr>
        <w:pStyle w:val="18"/>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1、如果投标人在投标截止日期之前发出投标文件，可以进行进一步修订，但必须在投标截止日期之前将书面的修订部分寄到招标人。</w:t>
      </w:r>
    </w:p>
    <w:p>
      <w:pPr>
        <w:pStyle w:val="18"/>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2、投标人的修订部分要同样进行密封，并在信封上标注“修改”字样。</w:t>
      </w:r>
    </w:p>
    <w:p>
      <w:pPr>
        <w:pStyle w:val="18"/>
        <w:snapToGrid w:val="0"/>
        <w:spacing w:line="360" w:lineRule="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3、在投标截止日期后，任何投标文件不得修订。</w:t>
      </w:r>
    </w:p>
    <w:p>
      <w:pPr>
        <w:pStyle w:val="18"/>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（八）开标</w:t>
      </w:r>
    </w:p>
    <w:p>
      <w:pPr>
        <w:pStyle w:val="18"/>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1、招标人将由单位授权的评选委员会进行开标，由组长主持并做出席记录。</w:t>
      </w:r>
    </w:p>
    <w:p>
      <w:pPr>
        <w:pStyle w:val="18"/>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2、每个投标人的名称、公司背景、提供的详细计划书、报价和服务范围等将在开标时宣布，并进行评定。</w:t>
      </w:r>
    </w:p>
    <w:p>
      <w:pPr>
        <w:pStyle w:val="18"/>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（九）保密性</w:t>
      </w:r>
    </w:p>
    <w:p>
      <w:pPr>
        <w:pStyle w:val="18"/>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招标人保证投标文件的评估、比较和定标流程的保密性和公正性，不会向与开标和评标程序无关的其他人员透露任何信息。</w:t>
      </w:r>
    </w:p>
    <w:p>
      <w:pPr>
        <w:pStyle w:val="18"/>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（十）投标文件的澄清</w:t>
      </w:r>
    </w:p>
    <w:p>
      <w:pPr>
        <w:pStyle w:val="18"/>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为了支持投标文件的评估、比较，招标人评选委员会可以提出，请投标人做进一步解释和澄清。投标人需提供书面答复，并且不能修改报价。</w:t>
      </w:r>
    </w:p>
    <w:p>
      <w:pPr>
        <w:pStyle w:val="18"/>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（十一）评标</w:t>
      </w:r>
    </w:p>
    <w:p>
      <w:pPr>
        <w:pStyle w:val="19"/>
        <w:tabs>
          <w:tab w:val="clear" w:pos="567"/>
        </w:tabs>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1、招标人将由评选委员会进行评标。除了价格和其它商业惯用标准外，招标人还会对投标人受托管理能力、投资管理能力，服务及时性、增值服务、受托管理服务方案等作为评价标准。</w:t>
      </w:r>
    </w:p>
    <w:p>
      <w:pPr>
        <w:pStyle w:val="18"/>
        <w:snapToGrid w:val="0"/>
        <w:spacing w:line="360" w:lineRule="auto"/>
        <w:ind w:left="0" w:firstLine="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2、在开标后，评选委员会将首先进行资格审查，然后综合考虑投标人的财务报价、技术和服务能力后做出中标决定。该决定将依据投标人提供的所有能证明自身资质的文件，和其它招标人认为必需和恰当的信息；</w:t>
      </w:r>
    </w:p>
    <w:p>
      <w:pPr>
        <w:pStyle w:val="18"/>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（十二）招标人联络</w:t>
      </w:r>
    </w:p>
    <w:p>
      <w:pPr>
        <w:pStyle w:val="18"/>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1、从开标到确定中标者期间，任何投标人不得联络招标人询问有关投标事宜；</w:t>
      </w:r>
    </w:p>
    <w:p>
      <w:pPr>
        <w:pStyle w:val="18"/>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2、投标人如有任何试图影响招标人评标流程和评估结果的举动，将被招标人拒标。</w:t>
      </w:r>
    </w:p>
    <w:p>
      <w:pPr>
        <w:pStyle w:val="18"/>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（十三）招标人接受或拒绝投标的权利</w:t>
      </w:r>
    </w:p>
    <w:p>
      <w:pPr>
        <w:pStyle w:val="18"/>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在招标人发出中标通知书前，招标人保留随时取消竞标或拒绝任何标书的权利。招标人不承担由此引起的对相关投标人带来的影响，也没有责任通知投标人该决定的理由。</w:t>
      </w:r>
    </w:p>
    <w:p>
      <w:pPr>
        <w:pStyle w:val="18"/>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（十四）中标通知</w:t>
      </w:r>
    </w:p>
    <w:p>
      <w:pPr>
        <w:pStyle w:val="18"/>
        <w:snapToGrid w:val="0"/>
        <w:spacing w:line="360" w:lineRule="auto"/>
        <w:ind w:left="489" w:leftChars="233" w:firstLine="384" w:firstLineChars="128"/>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1、招标人将以书面形式通知中标者中标信息；</w:t>
      </w:r>
    </w:p>
    <w:p>
      <w:pPr>
        <w:pStyle w:val="18"/>
        <w:snapToGrid w:val="0"/>
        <w:spacing w:line="360" w:lineRule="auto"/>
        <w:ind w:left="0" w:firstLine="900" w:firstLineChars="3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2、在正式合同生效前，中标通知将赋有合同的法律效力，《中标通知书》是合同的一个组成部分。</w:t>
      </w:r>
    </w:p>
    <w:p>
      <w:pPr>
        <w:pStyle w:val="18"/>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（十五）合同签署</w:t>
      </w:r>
    </w:p>
    <w:p>
      <w:pPr>
        <w:pStyle w:val="18"/>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1、合同格式以投标人提供的范本为基础。</w:t>
      </w:r>
    </w:p>
    <w:p>
      <w:pPr>
        <w:pStyle w:val="18"/>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2、中标人按《中标通知书》指定的时间、地点派遣其授权代表与投标人签订合同。招标文件、中标人的投标文件及澄清文件等，均是合同的组成部分。</w:t>
      </w:r>
    </w:p>
    <w:p>
      <w:pPr>
        <w:tabs>
          <w:tab w:val="left" w:pos="1470"/>
        </w:tabs>
        <w:snapToGrid w:val="0"/>
        <w:spacing w:line="360" w:lineRule="auto"/>
        <w:ind w:firstLine="602" w:firstLineChars="200"/>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四、无效情况</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有下列情况之一的投标文件被视为无效：</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1、投标人资质不符合投标文件条件或者不具备投标资格的。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2、投标文件未加盖单位公章或未经法定代表人或其委托代理人签署的。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3、逾期送达投标文件的。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4、投标文件未按要求密封的。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5、投标文件未按要求编制或者字迹辨认不清的。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6、严重漏项或重要事项未说明的。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7、投标文件同一项目出现两个或多个报价的，且未声明哪一个是最终报价的。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8、未按要求提供齐全相关资料的。</w:t>
      </w:r>
    </w:p>
    <w:p>
      <w:pPr>
        <w:widowControl/>
        <w:tabs>
          <w:tab w:val="left" w:pos="1260"/>
        </w:tabs>
        <w:snapToGrid w:val="0"/>
        <w:spacing w:line="360" w:lineRule="auto"/>
        <w:ind w:firstLine="602" w:firstLineChars="200"/>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五、廉洁准则</w:t>
      </w:r>
    </w:p>
    <w:p>
      <w:pPr>
        <w:widowControl/>
        <w:tabs>
          <w:tab w:val="left" w:pos="1260"/>
        </w:tabs>
        <w:snapToGrid w:val="0"/>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投标单位及其工作人员不得以任何形式贿赂招标购单位及其工作人员，一经发现取消投标人参加投标资格。</w:t>
      </w:r>
    </w:p>
    <w:p>
      <w:pPr>
        <w:snapToGrid w:val="0"/>
        <w:spacing w:line="360" w:lineRule="auto"/>
        <w:ind w:firstLine="602" w:firstLineChars="200"/>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六、其它</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sz w:val="30"/>
          <w:szCs w:val="30"/>
        </w:rPr>
        <w:t>1、招标人保留对招标文件的解释权和中标结果的最终决定权。</w:t>
      </w:r>
    </w:p>
    <w:p>
      <w:pPr>
        <w:tabs>
          <w:tab w:val="left" w:pos="0"/>
        </w:tabs>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2、招标人有权决定是否酌情延长截止日期，如果延期则各方权利和义务相应延长至新的截止日期。</w:t>
      </w:r>
    </w:p>
    <w:p>
      <w:pPr>
        <w:widowControl/>
        <w:snapToGrid w:val="0"/>
        <w:spacing w:line="360" w:lineRule="auto"/>
        <w:ind w:firstLine="1807" w:firstLineChars="500"/>
        <w:jc w:val="left"/>
        <w:rPr>
          <w:rFonts w:ascii="仿宋_GB2312" w:hAnsi="仿宋_GB2312" w:eastAsia="仿宋_GB2312" w:cs="仿宋_GB2312"/>
          <w:b/>
          <w:color w:val="000000"/>
          <w:sz w:val="36"/>
          <w:szCs w:val="36"/>
        </w:rPr>
      </w:pPr>
    </w:p>
    <w:p>
      <w:pPr>
        <w:widowControl/>
        <w:snapToGrid w:val="0"/>
        <w:spacing w:line="360" w:lineRule="auto"/>
        <w:ind w:firstLine="1807" w:firstLineChars="500"/>
        <w:jc w:val="left"/>
        <w:rPr>
          <w:rFonts w:ascii="仿宋_GB2312" w:hAnsi="仿宋_GB2312" w:eastAsia="仿宋_GB2312" w:cs="仿宋_GB2312"/>
          <w:color w:val="000000"/>
          <w:sz w:val="36"/>
          <w:szCs w:val="36"/>
        </w:rPr>
      </w:pPr>
      <w:r>
        <w:rPr>
          <w:rFonts w:hint="eastAsia" w:ascii="仿宋_GB2312" w:hAnsi="仿宋_GB2312" w:eastAsia="仿宋_GB2312" w:cs="仿宋_GB2312"/>
          <w:b/>
          <w:color w:val="000000"/>
          <w:sz w:val="36"/>
          <w:szCs w:val="36"/>
        </w:rPr>
        <w:t xml:space="preserve">第三部分  </w:t>
      </w:r>
      <w:bookmarkEnd w:id="2"/>
      <w:bookmarkEnd w:id="3"/>
      <w:bookmarkEnd w:id="4"/>
      <w:bookmarkEnd w:id="5"/>
      <w:bookmarkEnd w:id="6"/>
      <w:bookmarkEnd w:id="7"/>
      <w:r>
        <w:rPr>
          <w:rFonts w:hint="eastAsia" w:ascii="仿宋_GB2312" w:hAnsi="仿宋_GB2312" w:eastAsia="仿宋_GB2312" w:cs="仿宋_GB2312"/>
          <w:b/>
          <w:color w:val="000000"/>
          <w:sz w:val="36"/>
          <w:szCs w:val="36"/>
        </w:rPr>
        <w:t xml:space="preserve">  评标标准</w:t>
      </w:r>
    </w:p>
    <w:p>
      <w:pPr>
        <w:pStyle w:val="19"/>
        <w:tabs>
          <w:tab w:val="clear" w:pos="567"/>
        </w:tabs>
        <w:snapToGrid w:val="0"/>
        <w:spacing w:line="360" w:lineRule="auto"/>
        <w:ind w:left="0" w:firstLine="0"/>
        <w:rPr>
          <w:rFonts w:ascii="仿宋" w:hAnsi="仿宋" w:eastAsia="仿宋" w:cs="仿宋"/>
          <w:sz w:val="32"/>
          <w:szCs w:val="32"/>
        </w:rPr>
      </w:pPr>
    </w:p>
    <w:p>
      <w:pPr>
        <w:pStyle w:val="19"/>
        <w:tabs>
          <w:tab w:val="clear" w:pos="567"/>
        </w:tabs>
        <w:snapToGrid w:val="0"/>
        <w:spacing w:line="360" w:lineRule="auto"/>
        <w:ind w:left="0" w:firstLine="0"/>
        <w:rPr>
          <w:rFonts w:ascii="仿宋" w:hAnsi="仿宋" w:eastAsia="仿宋" w:cs="仿宋"/>
          <w:sz w:val="32"/>
          <w:szCs w:val="32"/>
        </w:rPr>
      </w:pPr>
      <w:r>
        <w:rPr>
          <w:rFonts w:hint="eastAsia" w:ascii="仿宋" w:hAnsi="仿宋" w:eastAsia="仿宋" w:cs="仿宋"/>
          <w:sz w:val="32"/>
          <w:szCs w:val="32"/>
        </w:rPr>
        <w:t xml:space="preserve">    一、招标人将由招标评选工作小组进行评标。除了价格和其它商业惯用标准外，招标人还会将供应方、服务及时性、增值服务、相关承诺实施方案等作为评价标准。</w:t>
      </w:r>
    </w:p>
    <w:p>
      <w:pPr>
        <w:widowControl/>
        <w:shd w:val="clear" w:color="auto" w:fill="FFFFFF"/>
        <w:spacing w:before="300" w:after="225" w:line="360" w:lineRule="atLeast"/>
        <w:jc w:val="left"/>
        <w:rPr>
          <w:rFonts w:ascii="仿宋_GB2312" w:hAnsi="仿宋_GB2312" w:eastAsia="仿宋_GB2312" w:cs="仿宋_GB2312"/>
          <w:color w:val="000000"/>
          <w:sz w:val="30"/>
          <w:szCs w:val="30"/>
        </w:rPr>
      </w:pPr>
      <w:r>
        <w:rPr>
          <w:rFonts w:hint="eastAsia" w:ascii="仿宋" w:hAnsi="仿宋" w:eastAsia="仿宋" w:cs="仿宋"/>
          <w:sz w:val="32"/>
          <w:szCs w:val="32"/>
        </w:rPr>
        <w:t xml:space="preserve">    二、本次评标采用</w:t>
      </w:r>
      <w:r>
        <w:rPr>
          <w:rFonts w:hint="eastAsia" w:ascii="仿宋" w:hAnsi="仿宋" w:eastAsia="仿宋" w:cs="仿宋"/>
          <w:sz w:val="32"/>
          <w:szCs w:val="32"/>
          <w:lang w:val="en-US" w:eastAsia="zh-CN"/>
        </w:rPr>
        <w:t>合理低价法标准</w:t>
      </w:r>
      <w:r>
        <w:rPr>
          <w:rFonts w:hint="eastAsia" w:ascii="仿宋" w:hAnsi="仿宋" w:eastAsia="仿宋" w:cs="仿宋"/>
          <w:sz w:val="32"/>
          <w:szCs w:val="32"/>
        </w:rPr>
        <w:t>。</w:t>
      </w:r>
      <w:r>
        <w:rPr>
          <w:rFonts w:hint="eastAsia" w:ascii="仿宋" w:hAnsi="仿宋" w:eastAsia="仿宋" w:cs="仿宋"/>
          <w:kern w:val="0"/>
          <w:sz w:val="32"/>
          <w:szCs w:val="32"/>
          <w:shd w:val="clear" w:color="auto" w:fill="FFFFFF"/>
          <w:lang w:bidi="ar"/>
        </w:rPr>
        <w:t>从符合相应资格条件的供应商名单中确定并邀请三家的供应商进行谈判，</w:t>
      </w:r>
      <w:r>
        <w:rPr>
          <w:rFonts w:hint="eastAsia" w:ascii="仿宋" w:hAnsi="仿宋" w:eastAsia="仿宋" w:cs="仿宋"/>
          <w:sz w:val="32"/>
          <w:szCs w:val="32"/>
        </w:rPr>
        <w:t>由招标评选工作小组先进行资格审查，合理低价者中标</w:t>
      </w:r>
      <w:r>
        <w:rPr>
          <w:rFonts w:hint="eastAsia" w:ascii="仿宋" w:hAnsi="仿宋" w:eastAsia="仿宋" w:cs="仿宋"/>
          <w:kern w:val="0"/>
          <w:sz w:val="32"/>
          <w:szCs w:val="32"/>
          <w:shd w:val="clear" w:color="auto" w:fill="FFFFFF"/>
          <w:lang w:bidi="ar"/>
        </w:rPr>
        <w:t>。</w:t>
      </w:r>
    </w:p>
    <w:p>
      <w:pPr>
        <w:snapToGrid w:val="0"/>
        <w:spacing w:line="360" w:lineRule="auto"/>
        <w:ind w:firstLine="57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三、招标人的评选工作小组将根据报价结果做出中标决定，合理低价排名第一的为中标单位，排名第二、第三的为候补单位。</w:t>
      </w:r>
    </w:p>
    <w:p>
      <w:pPr>
        <w:snapToGrid w:val="0"/>
        <w:spacing w:line="360" w:lineRule="auto"/>
        <w:rPr>
          <w:rFonts w:ascii="仿宋_GB2312" w:hAnsi="仿宋_GB2312" w:eastAsia="仿宋_GB2312" w:cs="仿宋_GB2312"/>
          <w:color w:val="000000"/>
          <w:sz w:val="28"/>
          <w:szCs w:val="28"/>
        </w:rPr>
      </w:pPr>
    </w:p>
    <w:p>
      <w:pPr>
        <w:spacing w:line="540" w:lineRule="exact"/>
        <w:jc w:val="center"/>
        <w:rPr>
          <w:rFonts w:hint="eastAsia" w:ascii="仿宋_GB2312" w:hAnsi="仿宋_GB2312" w:eastAsia="仿宋_GB2312" w:cs="仿宋_GB2312"/>
          <w:b/>
          <w:color w:val="000000"/>
          <w:sz w:val="36"/>
          <w:szCs w:val="36"/>
        </w:rPr>
      </w:pPr>
    </w:p>
    <w:p>
      <w:pPr>
        <w:spacing w:line="540" w:lineRule="exact"/>
        <w:jc w:val="center"/>
        <w:rPr>
          <w:rFonts w:hint="eastAsia" w:ascii="仿宋_GB2312" w:hAnsi="仿宋_GB2312" w:eastAsia="仿宋_GB2312" w:cs="仿宋_GB2312"/>
          <w:b/>
          <w:color w:val="000000"/>
          <w:sz w:val="36"/>
          <w:szCs w:val="36"/>
        </w:rPr>
      </w:pPr>
    </w:p>
    <w:p>
      <w:pPr>
        <w:spacing w:line="540" w:lineRule="exact"/>
        <w:jc w:val="center"/>
        <w:rPr>
          <w:rFonts w:hint="eastAsia" w:ascii="仿宋_GB2312" w:hAnsi="仿宋_GB2312" w:eastAsia="仿宋_GB2312" w:cs="仿宋_GB2312"/>
          <w:b/>
          <w:color w:val="000000"/>
          <w:sz w:val="36"/>
          <w:szCs w:val="36"/>
        </w:rPr>
      </w:pPr>
    </w:p>
    <w:p>
      <w:pPr>
        <w:spacing w:line="540" w:lineRule="exact"/>
        <w:jc w:val="center"/>
        <w:rPr>
          <w:rFonts w:hint="eastAsia" w:ascii="仿宋_GB2312" w:hAnsi="仿宋_GB2312" w:eastAsia="仿宋_GB2312" w:cs="仿宋_GB2312"/>
          <w:b/>
          <w:color w:val="000000"/>
          <w:sz w:val="36"/>
          <w:szCs w:val="36"/>
        </w:rPr>
      </w:pPr>
    </w:p>
    <w:p>
      <w:pPr>
        <w:spacing w:line="540" w:lineRule="exact"/>
        <w:jc w:val="center"/>
        <w:rPr>
          <w:rFonts w:hint="eastAsia" w:ascii="仿宋_GB2312" w:hAnsi="仿宋_GB2312" w:eastAsia="仿宋_GB2312" w:cs="仿宋_GB2312"/>
          <w:b/>
          <w:color w:val="000000"/>
          <w:sz w:val="36"/>
          <w:szCs w:val="36"/>
        </w:rPr>
      </w:pPr>
    </w:p>
    <w:p>
      <w:pPr>
        <w:pStyle w:val="2"/>
        <w:rPr>
          <w:rFonts w:hint="eastAsia" w:ascii="仿宋_GB2312" w:hAnsi="仿宋_GB2312" w:eastAsia="仿宋_GB2312" w:cs="仿宋_GB2312"/>
          <w:b/>
          <w:color w:val="000000"/>
          <w:sz w:val="36"/>
          <w:szCs w:val="36"/>
        </w:rPr>
      </w:pPr>
    </w:p>
    <w:p>
      <w:pPr>
        <w:pStyle w:val="2"/>
        <w:rPr>
          <w:rFonts w:hint="eastAsia" w:ascii="仿宋_GB2312" w:hAnsi="仿宋_GB2312" w:eastAsia="仿宋_GB2312" w:cs="仿宋_GB2312"/>
          <w:b/>
          <w:color w:val="000000"/>
          <w:sz w:val="36"/>
          <w:szCs w:val="36"/>
        </w:rPr>
      </w:pPr>
    </w:p>
    <w:p>
      <w:pPr>
        <w:spacing w:line="540" w:lineRule="exact"/>
        <w:jc w:val="center"/>
        <w:rPr>
          <w:rFonts w:hint="eastAsia" w:ascii="仿宋_GB2312" w:hAnsi="仿宋_GB2312" w:eastAsia="仿宋_GB2312" w:cs="仿宋_GB2312"/>
          <w:b/>
          <w:color w:val="000000"/>
          <w:sz w:val="36"/>
          <w:szCs w:val="36"/>
        </w:rPr>
      </w:pPr>
    </w:p>
    <w:p>
      <w:pPr>
        <w:spacing w:line="540" w:lineRule="exact"/>
        <w:jc w:val="center"/>
        <w:rPr>
          <w:rFonts w:hint="eastAsia" w:ascii="仿宋_GB2312" w:hAnsi="仿宋_GB2312" w:eastAsia="仿宋_GB2312" w:cs="仿宋_GB2312"/>
          <w:b/>
          <w:color w:val="000000"/>
          <w:sz w:val="36"/>
          <w:szCs w:val="36"/>
        </w:rPr>
      </w:pPr>
    </w:p>
    <w:p>
      <w:pPr>
        <w:spacing w:line="540" w:lineRule="exact"/>
        <w:jc w:val="center"/>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第四部分  投标文件表格样式和附表</w:t>
      </w:r>
    </w:p>
    <w:p>
      <w:pPr>
        <w:numPr>
          <w:ilvl w:val="1"/>
          <w:numId w:val="4"/>
        </w:numPr>
        <w:tabs>
          <w:tab w:val="left" w:pos="360"/>
        </w:tabs>
        <w:spacing w:after="156" w:afterLines="50" w:line="360" w:lineRule="auto"/>
        <w:ind w:left="540" w:hanging="540"/>
        <w:jc w:val="center"/>
        <w:rPr>
          <w:rFonts w:ascii="仿宋_GB2312" w:hAnsi="仿宋_GB2312" w:eastAsia="仿宋_GB2312" w:cs="仿宋_GB2312"/>
          <w:b/>
          <w:color w:val="000000"/>
          <w:sz w:val="30"/>
          <w:szCs w:val="30"/>
        </w:rPr>
      </w:pPr>
    </w:p>
    <w:p>
      <w:pPr>
        <w:numPr>
          <w:ilvl w:val="1"/>
          <w:numId w:val="4"/>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附件一：投标确认函</w:t>
      </w:r>
      <w:bookmarkStart w:id="8" w:name="_Hlk515283166"/>
    </w:p>
    <w:p>
      <w:pPr>
        <w:numPr>
          <w:ilvl w:val="1"/>
          <w:numId w:val="4"/>
        </w:numPr>
        <w:tabs>
          <w:tab w:val="left" w:pos="360"/>
        </w:tabs>
        <w:spacing w:after="156" w:afterLines="50" w:line="360" w:lineRule="auto"/>
        <w:ind w:left="540" w:hanging="540"/>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投标确认函</w:t>
      </w:r>
      <w:bookmarkEnd w:id="8"/>
    </w:p>
    <w:p>
      <w:pPr>
        <w:spacing w:line="540" w:lineRule="exact"/>
        <w:ind w:firstLine="600" w:firstLineChars="200"/>
        <w:jc w:val="left"/>
        <w:rPr>
          <w:rFonts w:ascii="仿宋_GB2312" w:hAnsi="仿宋_GB2312" w:eastAsia="仿宋_GB2312" w:cs="仿宋_GB2312"/>
          <w:color w:val="000000"/>
          <w:sz w:val="30"/>
          <w:szCs w:val="30"/>
        </w:rPr>
      </w:pPr>
    </w:p>
    <w:p>
      <w:pPr>
        <w:spacing w:line="540" w:lineRule="exact"/>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洛阳市公路事业发展中心洛界高速公路管理处：</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我单位接受2021年汝阳站办公楼制作安装树脂瓦顶棚项目的招标邀请，同意招标文件相关约定并同意在规定时间内提供投标书等相关资料，且承诺所提供资料均真实有效。</w:t>
      </w:r>
    </w:p>
    <w:p>
      <w:pPr>
        <w:spacing w:line="360" w:lineRule="auto"/>
        <w:ind w:firstLine="531" w:firstLineChars="177"/>
        <w:rPr>
          <w:rFonts w:ascii="仿宋_GB2312" w:hAnsi="仿宋_GB2312" w:eastAsia="仿宋_GB2312" w:cs="仿宋_GB2312"/>
          <w:color w:val="000000"/>
          <w:sz w:val="30"/>
          <w:szCs w:val="30"/>
        </w:rPr>
      </w:pPr>
    </w:p>
    <w:p>
      <w:pPr>
        <w:spacing w:line="360" w:lineRule="auto"/>
        <w:ind w:firstLine="531" w:firstLineChars="177"/>
        <w:rPr>
          <w:rFonts w:ascii="仿宋_GB2312" w:hAnsi="仿宋_GB2312" w:eastAsia="仿宋_GB2312" w:cs="仿宋_GB2312"/>
          <w:color w:val="000000"/>
          <w:sz w:val="30"/>
          <w:szCs w:val="30"/>
        </w:rPr>
      </w:pPr>
    </w:p>
    <w:p>
      <w:pPr>
        <w:spacing w:line="360" w:lineRule="auto"/>
        <w:ind w:firstLine="531" w:firstLineChars="177"/>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联系人：XXXX</w:t>
      </w:r>
    </w:p>
    <w:p>
      <w:pPr>
        <w:spacing w:line="360" w:lineRule="auto"/>
        <w:ind w:firstLine="531" w:firstLineChars="177"/>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联系方式：XXXX</w:t>
      </w:r>
    </w:p>
    <w:p>
      <w:pPr>
        <w:spacing w:line="360" w:lineRule="auto"/>
        <w:ind w:firstLine="531" w:firstLineChars="177"/>
        <w:rPr>
          <w:rFonts w:ascii="仿宋_GB2312" w:hAnsi="仿宋_GB2312" w:eastAsia="仿宋_GB2312" w:cs="仿宋_GB2312"/>
          <w:color w:val="000000"/>
          <w:sz w:val="30"/>
          <w:szCs w:val="30"/>
        </w:rPr>
      </w:pPr>
    </w:p>
    <w:p>
      <w:pPr>
        <w:spacing w:line="360" w:lineRule="auto"/>
        <w:ind w:firstLine="531" w:firstLineChars="177"/>
        <w:rPr>
          <w:rFonts w:ascii="仿宋_GB2312" w:hAnsi="仿宋_GB2312" w:eastAsia="仿宋_GB2312" w:cs="仿宋_GB2312"/>
          <w:color w:val="000000"/>
          <w:sz w:val="30"/>
          <w:szCs w:val="30"/>
        </w:rPr>
      </w:pPr>
    </w:p>
    <w:p>
      <w:pPr>
        <w:spacing w:line="360" w:lineRule="auto"/>
        <w:ind w:left="424" w:leftChars="202"/>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投标人（公章）：</w:t>
      </w:r>
    </w:p>
    <w:p>
      <w:pPr>
        <w:spacing w:line="360" w:lineRule="auto"/>
        <w:ind w:left="424" w:leftChars="202"/>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法定代表人或授权委托人（签字）：</w:t>
      </w:r>
    </w:p>
    <w:p>
      <w:pPr>
        <w:spacing w:line="360" w:lineRule="auto"/>
        <w:ind w:left="424" w:leftChars="202"/>
        <w:rPr>
          <w:rFonts w:ascii="仿宋_GB2312" w:hAnsi="仿宋_GB2312" w:eastAsia="仿宋_GB2312" w:cs="仿宋_GB2312"/>
          <w:sz w:val="30"/>
          <w:szCs w:val="30"/>
        </w:rPr>
      </w:pPr>
      <w:r>
        <w:rPr>
          <w:rFonts w:hint="eastAsia" w:ascii="仿宋_GB2312" w:hAnsi="仿宋_GB2312" w:eastAsia="仿宋_GB2312" w:cs="仿宋_GB2312"/>
          <w:sz w:val="30"/>
          <w:szCs w:val="30"/>
        </w:rPr>
        <w:t>日期：</w:t>
      </w:r>
    </w:p>
    <w:p>
      <w:pPr>
        <w:spacing w:line="360" w:lineRule="auto"/>
        <w:ind w:left="424" w:leftChars="202"/>
        <w:rPr>
          <w:rFonts w:ascii="仿宋_GB2312" w:hAnsi="仿宋_GB2312" w:eastAsia="仿宋_GB2312" w:cs="仿宋_GB2312"/>
          <w:sz w:val="30"/>
          <w:szCs w:val="30"/>
        </w:rPr>
      </w:pPr>
    </w:p>
    <w:p>
      <w:pPr>
        <w:spacing w:line="360" w:lineRule="auto"/>
        <w:ind w:left="424" w:leftChars="202"/>
        <w:rPr>
          <w:rFonts w:ascii="仿宋_GB2312" w:hAnsi="仿宋_GB2312" w:eastAsia="仿宋_GB2312" w:cs="仿宋_GB2312"/>
          <w:sz w:val="30"/>
          <w:szCs w:val="30"/>
        </w:rPr>
      </w:pPr>
    </w:p>
    <w:p>
      <w:pPr>
        <w:spacing w:line="360" w:lineRule="auto"/>
        <w:ind w:left="424" w:leftChars="202"/>
        <w:rPr>
          <w:rFonts w:ascii="仿宋_GB2312" w:hAnsi="仿宋_GB2312" w:eastAsia="仿宋_GB2312" w:cs="仿宋_GB2312"/>
          <w:sz w:val="30"/>
          <w:szCs w:val="30"/>
        </w:rPr>
      </w:pPr>
    </w:p>
    <w:p>
      <w:pPr>
        <w:numPr>
          <w:ilvl w:val="1"/>
          <w:numId w:val="4"/>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p>
    <w:p>
      <w:pPr>
        <w:numPr>
          <w:ilvl w:val="1"/>
          <w:numId w:val="4"/>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附件二：投标函</w:t>
      </w:r>
    </w:p>
    <w:p>
      <w:pPr>
        <w:numPr>
          <w:ilvl w:val="1"/>
          <w:numId w:val="4"/>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b/>
          <w:color w:val="000000"/>
          <w:sz w:val="30"/>
          <w:szCs w:val="30"/>
        </w:rPr>
        <w:t>投 标 函</w:t>
      </w:r>
    </w:p>
    <w:p>
      <w:pPr>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洛阳市公路事业发展中心洛界高速公路管理处：</w:t>
      </w:r>
    </w:p>
    <w:p>
      <w:pPr>
        <w:adjustRightInd w:val="0"/>
        <w:snapToGrid w:val="0"/>
        <w:spacing w:line="360" w:lineRule="auto"/>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一、我单位了解了招标条件、要求以及招标办法后，我单位决定参加2021年汝阳站办公楼制作安装树脂瓦顶棚项目的招标。</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二、我单位完全响应招标人的招标文件</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1、报价为XXXX元</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2、工期为XXXX日历天</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3、质量满足国家相关质量验收合格标准。</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三、我方一旦中标，在签订正式合同文本之前，本投标文件、应贵方要求的补充应答（或澄清说明）、连同贵方的招标文件应成为约束我方的文件。</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四、我单位在投标过程中所了解的与2021年汝阳站办公楼制作安装树脂瓦顶棚项目相关的任何信息资料，不论是何种载体或以何种方式传递的信息，仅限于本次投标所用，我单位承诺不会将此类信息用于任何与本次投标无关的用途。</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五、我单位郑重承诺向贵方提供的所有材料内容真实、准确，没有任何虚假、误导性陈述和记载，没有故意隐瞒与选择2021年汝阳站办公楼制作安装树脂瓦顶棚项目有关的重要事实。如承诺不实，我单位自动放弃参选资格，并赔偿由此给招标人洛阳市公路事业发展中心洛界高速公路管理处造成的任何损失或费用。</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六、我单位也完全理解，贵方有权选择任何贵方可能收到的投标方案。</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七、我单位向招标人承诺以上条款自签署之日起生效，在参选和担任2021年汝阳站办公楼制作安装树脂瓦顶棚项目期间持续有效。</w:t>
      </w:r>
    </w:p>
    <w:p>
      <w:pPr>
        <w:snapToGrid w:val="0"/>
        <w:spacing w:line="360" w:lineRule="auto"/>
        <w:ind w:firstLine="600" w:firstLineChars="200"/>
        <w:rPr>
          <w:rFonts w:ascii="仿宋_GB2312" w:hAnsi="仿宋_GB2312" w:eastAsia="仿宋_GB2312" w:cs="仿宋_GB2312"/>
          <w:color w:val="000000"/>
          <w:sz w:val="30"/>
          <w:szCs w:val="30"/>
        </w:rPr>
      </w:pP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投标单位（公章）： </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授权代表签字：</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日期：</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地址：</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电话：</w:t>
      </w:r>
    </w:p>
    <w:p>
      <w:pPr>
        <w:spacing w:line="360" w:lineRule="auto"/>
        <w:ind w:firstLine="600" w:firstLineChars="200"/>
        <w:rPr>
          <w:rFonts w:ascii="仿宋_GB2312" w:hAnsi="仿宋_GB2312" w:eastAsia="仿宋_GB2312" w:cs="仿宋_GB2312"/>
          <w:color w:val="000000"/>
          <w:sz w:val="30"/>
          <w:szCs w:val="30"/>
        </w:rPr>
      </w:pPr>
    </w:p>
    <w:p>
      <w:pPr>
        <w:spacing w:line="360" w:lineRule="auto"/>
        <w:rPr>
          <w:rFonts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pStyle w:val="2"/>
        <w:rPr>
          <w:rFonts w:hint="eastAsia" w:ascii="仿宋_GB2312" w:hAnsi="仿宋_GB2312" w:eastAsia="仿宋_GB2312" w:cs="仿宋_GB2312"/>
          <w:color w:val="000000"/>
          <w:sz w:val="30"/>
          <w:szCs w:val="30"/>
        </w:rPr>
      </w:pPr>
    </w:p>
    <w:p>
      <w:pPr>
        <w:pStyle w:val="2"/>
        <w:rPr>
          <w:rFonts w:hint="eastAsia" w:ascii="仿宋_GB2312" w:hAnsi="仿宋_GB2312" w:eastAsia="仿宋_GB2312" w:cs="仿宋_GB2312"/>
          <w:color w:val="000000"/>
          <w:sz w:val="30"/>
          <w:szCs w:val="30"/>
        </w:rPr>
      </w:pPr>
    </w:p>
    <w:p>
      <w:pPr>
        <w:pStyle w:val="2"/>
        <w:rPr>
          <w:rFonts w:hint="eastAsia" w:ascii="仿宋_GB2312" w:hAnsi="仿宋_GB2312" w:eastAsia="仿宋_GB2312" w:cs="仿宋_GB2312"/>
          <w:color w:val="000000"/>
          <w:sz w:val="30"/>
          <w:szCs w:val="30"/>
        </w:rPr>
      </w:pPr>
    </w:p>
    <w:p>
      <w:pPr>
        <w:pStyle w:val="2"/>
        <w:rPr>
          <w:rFonts w:hint="eastAsia" w:ascii="仿宋_GB2312" w:hAnsi="仿宋_GB2312" w:eastAsia="仿宋_GB2312" w:cs="仿宋_GB2312"/>
          <w:color w:val="000000"/>
          <w:sz w:val="30"/>
          <w:szCs w:val="30"/>
        </w:rPr>
      </w:pPr>
    </w:p>
    <w:p>
      <w:pPr>
        <w:pStyle w:val="2"/>
        <w:rPr>
          <w:rFonts w:hint="eastAsia" w:ascii="仿宋_GB2312" w:hAnsi="仿宋_GB2312" w:eastAsia="仿宋_GB2312" w:cs="仿宋_GB2312"/>
          <w:color w:val="000000"/>
          <w:sz w:val="30"/>
          <w:szCs w:val="30"/>
        </w:rPr>
      </w:pPr>
    </w:p>
    <w:p>
      <w:pPr>
        <w:pStyle w:val="2"/>
        <w:rPr>
          <w:rFonts w:hint="eastAsia" w:ascii="仿宋_GB2312" w:hAnsi="仿宋_GB2312" w:eastAsia="仿宋_GB2312" w:cs="仿宋_GB2312"/>
          <w:color w:val="000000"/>
          <w:sz w:val="30"/>
          <w:szCs w:val="30"/>
        </w:rPr>
      </w:pPr>
    </w:p>
    <w:p>
      <w:pPr>
        <w:pStyle w:val="2"/>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附件三：法定代表人授权书</w:t>
      </w:r>
    </w:p>
    <w:p>
      <w:pPr>
        <w:spacing w:line="360" w:lineRule="auto"/>
        <w:rPr>
          <w:rFonts w:ascii="仿宋_GB2312" w:hAnsi="仿宋_GB2312" w:eastAsia="仿宋_GB2312" w:cs="仿宋_GB2312"/>
          <w:color w:val="000000"/>
          <w:sz w:val="30"/>
          <w:szCs w:val="30"/>
        </w:rPr>
      </w:pPr>
    </w:p>
    <w:p>
      <w:pPr>
        <w:adjustRightInd w:val="0"/>
        <w:snapToGrid w:val="0"/>
        <w:spacing w:line="360" w:lineRule="auto"/>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法定代表人授权书</w:t>
      </w:r>
    </w:p>
    <w:p>
      <w:pPr>
        <w:adjustRightInd w:val="0"/>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洛阳市公路事业发展中心洛界高速公路管理处：</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（投标人名称）,中华人民共和国合法企业,法定地址</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（授权人姓名）特授权</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（被授权人姓名、身份证号）代表我单位全权办理针对2021年汝阳站办公楼制作安装树脂瓦顶棚项目的投标、谈判、签约等具体工作，并签署全部有关的文件、协议及合同。</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我单位对被授权人的签名负全部责任。</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在撤销授权的书面通知到达以前，本授权书一直有效。被授权人签署的所有文件（在授权书有效期内签署的）不因授权的撤销而失效。</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注：附法定代表人和授权委托人身份证复印件</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法定代表人（签名）:                 </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授权委托人（签名）:                 </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职  务:                 </w:t>
      </w:r>
    </w:p>
    <w:p>
      <w:pPr>
        <w:adjustRightInd w:val="0"/>
        <w:snapToGrid w:val="0"/>
        <w:spacing w:line="360" w:lineRule="auto"/>
        <w:ind w:firstLine="600" w:firstLineChars="200"/>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30"/>
          <w:szCs w:val="30"/>
        </w:rPr>
        <w:t xml:space="preserve">投标人（公章）:  </w:t>
      </w:r>
    </w:p>
    <w:p>
      <w:pPr>
        <w:pStyle w:val="4"/>
        <w:widowControl/>
        <w:spacing w:line="240" w:lineRule="atLeast"/>
        <w:rPr>
          <w:rFonts w:ascii="仿宋" w:hAnsi="仿宋" w:eastAsia="仿宋" w:cs="仿宋"/>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r –¾’©">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605B5"/>
    <w:multiLevelType w:val="multilevel"/>
    <w:tmpl w:val="21B605B5"/>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7CE1209"/>
    <w:multiLevelType w:val="multilevel"/>
    <w:tmpl w:val="37CE120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B26016"/>
    <w:multiLevelType w:val="multilevel"/>
    <w:tmpl w:val="63B26016"/>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784256F4"/>
    <w:multiLevelType w:val="multilevel"/>
    <w:tmpl w:val="784256F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6F8"/>
    <w:rsid w:val="009E46F8"/>
    <w:rsid w:val="00B07C78"/>
    <w:rsid w:val="00C87364"/>
    <w:rsid w:val="01600E4F"/>
    <w:rsid w:val="02312975"/>
    <w:rsid w:val="0482316C"/>
    <w:rsid w:val="04ED56A1"/>
    <w:rsid w:val="05B035F9"/>
    <w:rsid w:val="061F0C1E"/>
    <w:rsid w:val="07271FDA"/>
    <w:rsid w:val="07B424F5"/>
    <w:rsid w:val="07FE6993"/>
    <w:rsid w:val="09CD2A00"/>
    <w:rsid w:val="0B613B72"/>
    <w:rsid w:val="0CF3253C"/>
    <w:rsid w:val="10260024"/>
    <w:rsid w:val="108B0383"/>
    <w:rsid w:val="113F5BC3"/>
    <w:rsid w:val="150D1B98"/>
    <w:rsid w:val="15D81BBC"/>
    <w:rsid w:val="18394CA0"/>
    <w:rsid w:val="19A90A16"/>
    <w:rsid w:val="1B4E5FF6"/>
    <w:rsid w:val="1C5C229C"/>
    <w:rsid w:val="1C8B5C50"/>
    <w:rsid w:val="1CE24C47"/>
    <w:rsid w:val="1D9F2006"/>
    <w:rsid w:val="1EC63DE2"/>
    <w:rsid w:val="1EC64C57"/>
    <w:rsid w:val="1F640B86"/>
    <w:rsid w:val="20E06819"/>
    <w:rsid w:val="220D14E6"/>
    <w:rsid w:val="22495364"/>
    <w:rsid w:val="228A1A16"/>
    <w:rsid w:val="22B8127D"/>
    <w:rsid w:val="22BD1253"/>
    <w:rsid w:val="22E56B35"/>
    <w:rsid w:val="2361473B"/>
    <w:rsid w:val="23B93957"/>
    <w:rsid w:val="240D4A81"/>
    <w:rsid w:val="24504649"/>
    <w:rsid w:val="267D0755"/>
    <w:rsid w:val="268A4186"/>
    <w:rsid w:val="293707E5"/>
    <w:rsid w:val="2A8353C2"/>
    <w:rsid w:val="2B462A28"/>
    <w:rsid w:val="2BBB762E"/>
    <w:rsid w:val="2BF81C34"/>
    <w:rsid w:val="2D3B1C1F"/>
    <w:rsid w:val="2D9647DF"/>
    <w:rsid w:val="2DE41984"/>
    <w:rsid w:val="2F732B79"/>
    <w:rsid w:val="30874023"/>
    <w:rsid w:val="324A22B2"/>
    <w:rsid w:val="33310B66"/>
    <w:rsid w:val="35C01011"/>
    <w:rsid w:val="36286B4A"/>
    <w:rsid w:val="37C07B69"/>
    <w:rsid w:val="37C74F9B"/>
    <w:rsid w:val="38B53E06"/>
    <w:rsid w:val="38CF2BE0"/>
    <w:rsid w:val="3C312FB1"/>
    <w:rsid w:val="3D3C1673"/>
    <w:rsid w:val="3DD03D86"/>
    <w:rsid w:val="3DE714F2"/>
    <w:rsid w:val="401E56B9"/>
    <w:rsid w:val="40B52380"/>
    <w:rsid w:val="41514EC2"/>
    <w:rsid w:val="42B209B3"/>
    <w:rsid w:val="435B62CE"/>
    <w:rsid w:val="44605702"/>
    <w:rsid w:val="4624613D"/>
    <w:rsid w:val="4AB36660"/>
    <w:rsid w:val="4AB95AF0"/>
    <w:rsid w:val="4B275528"/>
    <w:rsid w:val="4F7742C7"/>
    <w:rsid w:val="505D38FF"/>
    <w:rsid w:val="51581ED6"/>
    <w:rsid w:val="51DF5C9E"/>
    <w:rsid w:val="52BC7821"/>
    <w:rsid w:val="53E40BC0"/>
    <w:rsid w:val="541B324E"/>
    <w:rsid w:val="550F6EB3"/>
    <w:rsid w:val="55650947"/>
    <w:rsid w:val="55655F4C"/>
    <w:rsid w:val="58270B1C"/>
    <w:rsid w:val="5CEE03B2"/>
    <w:rsid w:val="5D360107"/>
    <w:rsid w:val="5E707694"/>
    <w:rsid w:val="5EB979FE"/>
    <w:rsid w:val="5F377F0C"/>
    <w:rsid w:val="6020649D"/>
    <w:rsid w:val="60876D40"/>
    <w:rsid w:val="61DD0259"/>
    <w:rsid w:val="61FB319F"/>
    <w:rsid w:val="635A43B6"/>
    <w:rsid w:val="65EE7F04"/>
    <w:rsid w:val="675F6C79"/>
    <w:rsid w:val="6C363AEC"/>
    <w:rsid w:val="6CC03508"/>
    <w:rsid w:val="6EF0136D"/>
    <w:rsid w:val="6F320B22"/>
    <w:rsid w:val="6FC34FAB"/>
    <w:rsid w:val="6FEF3185"/>
    <w:rsid w:val="72164E79"/>
    <w:rsid w:val="72D7102E"/>
    <w:rsid w:val="73EE5314"/>
    <w:rsid w:val="755439F3"/>
    <w:rsid w:val="75AE0F85"/>
    <w:rsid w:val="75D24449"/>
    <w:rsid w:val="7871035A"/>
    <w:rsid w:val="7A4433CC"/>
    <w:rsid w:val="7DB32180"/>
    <w:rsid w:val="7F96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heme="minorHAnsi" w:eastAsiaTheme="minorEastAsia" w:cstheme="minorBidi"/>
      <w:color w:val="000000"/>
      <w:sz w:val="24"/>
      <w:szCs w:val="2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rPr>
      <w:sz w:val="24"/>
    </w:rPr>
  </w:style>
  <w:style w:type="character" w:styleId="7">
    <w:name w:val="Strong"/>
    <w:basedOn w:val="6"/>
    <w:qFormat/>
    <w:uiPriority w:val="0"/>
    <w:rPr>
      <w:b/>
      <w:bCs/>
    </w:rPr>
  </w:style>
  <w:style w:type="character" w:styleId="8">
    <w:name w:val="FollowedHyperlink"/>
    <w:basedOn w:val="6"/>
    <w:qFormat/>
    <w:uiPriority w:val="0"/>
    <w:rPr>
      <w:color w:val="338DE6"/>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0000FF"/>
      <w:u w:val="single"/>
    </w:rPr>
  </w:style>
  <w:style w:type="character" w:styleId="13">
    <w:name w:val="HTML Code"/>
    <w:basedOn w:val="6"/>
    <w:qFormat/>
    <w:uiPriority w:val="0"/>
    <w:rPr>
      <w:rFonts w:ascii="serif" w:hAnsi="serif" w:eastAsia="serif" w:cs="serif"/>
      <w:sz w:val="21"/>
      <w:szCs w:val="21"/>
    </w:rPr>
  </w:style>
  <w:style w:type="character" w:styleId="14">
    <w:name w:val="HTML Cite"/>
    <w:basedOn w:val="6"/>
    <w:qFormat/>
    <w:uiPriority w:val="0"/>
  </w:style>
  <w:style w:type="character" w:styleId="15">
    <w:name w:val="HTML Keyboard"/>
    <w:basedOn w:val="6"/>
    <w:qFormat/>
    <w:uiPriority w:val="0"/>
    <w:rPr>
      <w:rFonts w:hint="default" w:ascii="serif" w:hAnsi="serif" w:eastAsia="serif" w:cs="serif"/>
      <w:color w:val="FFFFFF"/>
      <w:sz w:val="21"/>
      <w:szCs w:val="21"/>
      <w:u w:val="none"/>
    </w:rPr>
  </w:style>
  <w:style w:type="character" w:styleId="16">
    <w:name w:val="HTML Sample"/>
    <w:basedOn w:val="6"/>
    <w:qFormat/>
    <w:uiPriority w:val="0"/>
    <w:rPr>
      <w:rFonts w:hint="default" w:ascii="serif" w:hAnsi="serif" w:eastAsia="serif" w:cs="serif"/>
      <w:sz w:val="21"/>
      <w:szCs w:val="21"/>
    </w:rPr>
  </w:style>
  <w:style w:type="paragraph" w:customStyle="1" w:styleId="17">
    <w:name w:val="列出段落1"/>
    <w:basedOn w:val="1"/>
    <w:qFormat/>
    <w:uiPriority w:val="34"/>
    <w:pPr>
      <w:ind w:firstLine="420" w:firstLineChars="200"/>
    </w:pPr>
  </w:style>
  <w:style w:type="paragraph" w:customStyle="1" w:styleId="18">
    <w:name w:val="杮暥 5"/>
    <w:basedOn w:val="1"/>
    <w:qFormat/>
    <w:uiPriority w:val="0"/>
    <w:pPr>
      <w:tabs>
        <w:tab w:val="left" w:pos="360"/>
      </w:tabs>
      <w:autoSpaceDE w:val="0"/>
      <w:autoSpaceDN w:val="0"/>
      <w:adjustRightInd w:val="0"/>
      <w:ind w:left="360" w:hanging="360"/>
      <w:jc w:val="left"/>
    </w:pPr>
    <w:rPr>
      <w:rFonts w:ascii="Arial" w:hAnsi="Arial" w:eastAsia="‚l‚r –¾’©" w:cs="Times New Roman"/>
      <w:b/>
      <w:szCs w:val="20"/>
    </w:rPr>
  </w:style>
  <w:style w:type="paragraph" w:customStyle="1" w:styleId="19">
    <w:name w:val="杮暥 4"/>
    <w:basedOn w:val="1"/>
    <w:qFormat/>
    <w:uiPriority w:val="0"/>
    <w:pPr>
      <w:tabs>
        <w:tab w:val="left" w:pos="567"/>
      </w:tabs>
      <w:autoSpaceDE w:val="0"/>
      <w:autoSpaceDN w:val="0"/>
      <w:adjustRightInd w:val="0"/>
      <w:ind w:left="567" w:hanging="567"/>
    </w:pPr>
    <w:rPr>
      <w:rFonts w:ascii="Arial" w:hAnsi="Arial" w:eastAsia="‚l‚r –¾’©" w:cs="Times New Roman"/>
      <w:sz w:val="22"/>
      <w:szCs w:val="20"/>
    </w:rPr>
  </w:style>
  <w:style w:type="paragraph" w:customStyle="1" w:styleId="20">
    <w:name w:val="正文内容"/>
    <w:basedOn w:val="1"/>
    <w:qFormat/>
    <w:uiPriority w:val="0"/>
    <w:pPr>
      <w:spacing w:line="360" w:lineRule="auto"/>
      <w:ind w:firstLine="480" w:firstLineChars="200"/>
    </w:pPr>
    <w:rPr>
      <w:rFonts w:ascii="宋体" w:eastAsia="宋体" w:cs="Times New Roman"/>
      <w:bCs/>
      <w:kern w:val="0"/>
      <w:sz w:val="24"/>
    </w:rPr>
  </w:style>
  <w:style w:type="character" w:customStyle="1" w:styleId="21">
    <w:name w:val="fontborder"/>
    <w:basedOn w:val="6"/>
    <w:qFormat/>
    <w:uiPriority w:val="0"/>
    <w:rPr>
      <w:bdr w:val="single" w:color="000000" w:sz="6" w:space="0"/>
    </w:rPr>
  </w:style>
  <w:style w:type="character" w:customStyle="1" w:styleId="22">
    <w:name w:val="fontstrikethrough"/>
    <w:basedOn w:val="6"/>
    <w:qFormat/>
    <w:uiPriority w:val="0"/>
    <w:rPr>
      <w:strike/>
    </w:rPr>
  </w:style>
  <w:style w:type="character" w:customStyle="1" w:styleId="23">
    <w:name w:val="font01"/>
    <w:basedOn w:val="6"/>
    <w:uiPriority w:val="0"/>
    <w:rPr>
      <w:rFonts w:ascii="Calibri" w:hAnsi="Calibri" w:cs="Calibri"/>
      <w:color w:val="000000"/>
      <w:sz w:val="24"/>
      <w:szCs w:val="24"/>
      <w:u w:val="none"/>
    </w:rPr>
  </w:style>
  <w:style w:type="character" w:customStyle="1" w:styleId="24">
    <w:name w:val="font1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1345</Words>
  <Characters>7671</Characters>
  <Lines>63</Lines>
  <Paragraphs>17</Paragraphs>
  <TotalTime>19</TotalTime>
  <ScaleCrop>false</ScaleCrop>
  <LinksUpToDate>false</LinksUpToDate>
  <CharactersWithSpaces>8999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2021-09-16T03:04:00Z</dcterms:created>
  <dc:creator>Administrator</dc:creator>
  <cp:lastModifiedBy>DY</cp:lastModifiedBy>
  <cp:lastPrinted>2021-10-12T02:14:30Z</cp:lastPrinted>
  <dcterms:modified xsi:type="dcterms:W3CDTF">2021-10-12T02:21:27Z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C448E8531DE640739007CD986FD40947</vt:lpwstr>
  </property>
</Properties>
</file>