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rPr>
          <w:rFonts w:ascii="Times New Roman"/>
          <w:sz w:val="20"/>
        </w:rPr>
      </w:pPr>
    </w:p>
    <w:p>
      <w:pPr>
        <w:pStyle w:val="12"/>
        <w:spacing w:before="5"/>
        <w:rPr>
          <w:rFonts w:ascii="Times New Roman"/>
          <w:sz w:val="24"/>
        </w:rPr>
      </w:pPr>
    </w:p>
    <w:p>
      <w:pPr>
        <w:pStyle w:val="3"/>
        <w:tabs>
          <w:tab w:val="left" w:pos="720"/>
        </w:tabs>
        <w:rPr>
          <w:rFonts w:hint="eastAsia" w:eastAsia="楷体"/>
          <w:sz w:val="40"/>
          <w:szCs w:val="40"/>
          <w:lang w:eastAsia="zh-CN"/>
        </w:rPr>
      </w:pPr>
      <w:r>
        <w:rPr>
          <w:rFonts w:hint="eastAsia"/>
          <w:sz w:val="40"/>
          <w:szCs w:val="40"/>
          <w:lang w:eastAsia="zh-CN"/>
        </w:rPr>
        <w:t>洛界高速公路养护专项（2021-2022年度）工程监理</w:t>
      </w:r>
    </w:p>
    <w:p>
      <w:pPr>
        <w:pStyle w:val="3"/>
        <w:tabs>
          <w:tab w:val="left" w:pos="720"/>
        </w:tabs>
        <w:outlineLvl w:val="9"/>
        <w:rPr>
          <w:sz w:val="40"/>
          <w:szCs w:val="40"/>
        </w:rPr>
      </w:pPr>
    </w:p>
    <w:p>
      <w:pPr>
        <w:widowControl/>
        <w:spacing w:line="360" w:lineRule="auto"/>
        <w:jc w:val="center"/>
        <w:rPr>
          <w:rFonts w:ascii="宋体" w:hAnsi="宋体" w:cs="宋体"/>
          <w:b/>
          <w:color w:val="000000"/>
          <w:sz w:val="72"/>
          <w:szCs w:val="72"/>
        </w:rPr>
      </w:pPr>
      <w:r>
        <w:rPr>
          <w:rFonts w:hint="eastAsia" w:ascii="宋体" w:hAnsi="宋体" w:cs="宋体"/>
          <w:b/>
          <w:color w:val="000000"/>
          <w:sz w:val="72"/>
          <w:szCs w:val="72"/>
        </w:rPr>
        <w:t>竞争性磋商文件</w:t>
      </w:r>
    </w:p>
    <w:p>
      <w:pPr>
        <w:pStyle w:val="12"/>
      </w:pPr>
    </w:p>
    <w:p>
      <w:pPr>
        <w:widowControl/>
        <w:spacing w:line="360" w:lineRule="auto"/>
        <w:jc w:val="center"/>
        <w:rPr>
          <w:rFonts w:hint="eastAsia" w:ascii="宋体" w:hAnsi="宋体" w:eastAsia="楷体" w:cs="宋体"/>
          <w:b/>
          <w:color w:val="auto"/>
          <w:sz w:val="28"/>
          <w:szCs w:val="28"/>
          <w:lang w:val="en-US" w:eastAsia="zh-CN"/>
        </w:rPr>
      </w:pPr>
      <w:r>
        <w:rPr>
          <w:rFonts w:hint="eastAsia" w:ascii="宋体" w:hAnsi="宋体" w:cs="宋体"/>
          <w:b/>
          <w:color w:val="auto"/>
          <w:sz w:val="28"/>
          <w:szCs w:val="28"/>
        </w:rPr>
        <w:t>项目编号：</w:t>
      </w:r>
      <w:r>
        <w:rPr>
          <w:rFonts w:hint="eastAsia" w:ascii="宋体" w:hAnsi="宋体" w:cs="宋体"/>
          <w:b/>
          <w:color w:val="auto"/>
          <w:sz w:val="28"/>
          <w:szCs w:val="28"/>
          <w:lang w:val="en-US" w:eastAsia="zh-CN"/>
        </w:rPr>
        <w:t>HNSYH-2021-0714</w:t>
      </w:r>
    </w:p>
    <w:p>
      <w:pPr>
        <w:pStyle w:val="12"/>
        <w:rPr>
          <w:rFonts w:ascii="宋体" w:hAnsi="宋体" w:cs="宋体"/>
          <w:b/>
          <w:sz w:val="28"/>
          <w:szCs w:val="28"/>
        </w:rPr>
      </w:pPr>
    </w:p>
    <w:p>
      <w:pPr>
        <w:pStyle w:val="13"/>
      </w:pPr>
    </w:p>
    <w:p>
      <w:pPr>
        <w:widowControl/>
        <w:spacing w:line="360" w:lineRule="auto"/>
        <w:jc w:val="center"/>
        <w:rPr>
          <w:rFonts w:ascii="宋体" w:hAnsi="宋体" w:cs="宋体"/>
          <w:b/>
          <w:sz w:val="28"/>
          <w:szCs w:val="28"/>
        </w:rPr>
      </w:pPr>
    </w:p>
    <w:p>
      <w:pPr>
        <w:widowControl/>
        <w:spacing w:line="360" w:lineRule="auto"/>
        <w:jc w:val="center"/>
        <w:rPr>
          <w:rFonts w:ascii="宋体" w:cs="宋体"/>
        </w:rPr>
      </w:pPr>
      <w:r>
        <w:rPr>
          <w:rFonts w:hint="eastAsia" w:ascii="仿宋" w:hAnsi="仿宋" w:eastAsia="仿宋" w:cs="仿宋"/>
          <w:b/>
          <w:bCs/>
          <w:sz w:val="24"/>
          <w:szCs w:val="24"/>
        </w:rPr>
        <w:drawing>
          <wp:inline distT="0" distB="0" distL="114300" distR="114300">
            <wp:extent cx="2811780" cy="2004060"/>
            <wp:effectExtent l="0" t="0" r="7620" b="15240"/>
            <wp:docPr id="1" name="图片 1" descr="ca3d988248e2b06e18a701c8726d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3d988248e2b06e18a701c8726d328"/>
                    <pic:cNvPicPr>
                      <a:picLocks noChangeAspect="1"/>
                    </pic:cNvPicPr>
                  </pic:nvPicPr>
                  <pic:blipFill>
                    <a:blip r:embed="rId13"/>
                    <a:srcRect l="22140" t="18741" r="21379"/>
                    <a:stretch>
                      <a:fillRect/>
                    </a:stretch>
                  </pic:blipFill>
                  <pic:spPr>
                    <a:xfrm>
                      <a:off x="0" y="0"/>
                      <a:ext cx="2811780" cy="2004060"/>
                    </a:xfrm>
                    <a:prstGeom prst="rect">
                      <a:avLst/>
                    </a:prstGeom>
                    <a:noFill/>
                    <a:ln>
                      <a:noFill/>
                    </a:ln>
                  </pic:spPr>
                </pic:pic>
              </a:graphicData>
            </a:graphic>
          </wp:inline>
        </w:drawing>
      </w:r>
    </w:p>
    <w:p>
      <w:pPr>
        <w:pStyle w:val="12"/>
        <w:rPr>
          <w:rFonts w:ascii="宋体" w:cs="宋体"/>
        </w:rPr>
      </w:pPr>
    </w:p>
    <w:p>
      <w:pPr>
        <w:pStyle w:val="13"/>
      </w:pPr>
    </w:p>
    <w:p>
      <w:pPr>
        <w:rPr>
          <w:rFonts w:ascii="宋体" w:hAnsi="宋体" w:cs="宋体"/>
          <w:b/>
          <w:color w:val="000000"/>
          <w:sz w:val="30"/>
          <w:szCs w:val="30"/>
        </w:rPr>
      </w:pPr>
    </w:p>
    <w:p>
      <w:pPr>
        <w:pStyle w:val="2"/>
      </w:pPr>
    </w:p>
    <w:p>
      <w:pPr>
        <w:widowControl/>
        <w:spacing w:line="360" w:lineRule="auto"/>
        <w:ind w:left="0" w:leftChars="0" w:firstLine="0" w:firstLineChars="0"/>
        <w:jc w:val="center"/>
        <w:rPr>
          <w:rFonts w:ascii="宋体" w:hAnsi="宋体" w:cs="宋体"/>
          <w:b/>
          <w:sz w:val="32"/>
          <w:szCs w:val="48"/>
        </w:rPr>
      </w:pPr>
      <w:r>
        <w:rPr>
          <w:rFonts w:hint="eastAsia" w:ascii="宋体" w:hAnsi="宋体" w:cs="宋体"/>
          <w:b/>
          <w:sz w:val="32"/>
          <w:szCs w:val="48"/>
        </w:rPr>
        <w:t>采购人：洛阳市公路管理局洛界高速公路管理处</w:t>
      </w:r>
    </w:p>
    <w:p>
      <w:pPr>
        <w:widowControl/>
        <w:spacing w:line="360" w:lineRule="auto"/>
        <w:ind w:left="0" w:leftChars="0" w:firstLine="0" w:firstLineChars="0"/>
        <w:jc w:val="center"/>
        <w:rPr>
          <w:rFonts w:hint="eastAsia" w:ascii="宋体" w:hAnsi="宋体" w:eastAsia="楷体" w:cs="宋体"/>
          <w:b/>
          <w:sz w:val="32"/>
          <w:szCs w:val="48"/>
          <w:lang w:eastAsia="zh-CN"/>
        </w:rPr>
      </w:pPr>
      <w:r>
        <w:rPr>
          <w:rFonts w:hint="eastAsia" w:ascii="宋体" w:hAnsi="宋体" w:cs="宋体"/>
          <w:b/>
          <w:sz w:val="32"/>
          <w:szCs w:val="48"/>
        </w:rPr>
        <w:t>采购代理机构：</w:t>
      </w:r>
      <w:r>
        <w:rPr>
          <w:rFonts w:hint="eastAsia" w:ascii="宋体" w:hAnsi="宋体" w:cs="宋体"/>
          <w:b/>
          <w:sz w:val="32"/>
          <w:szCs w:val="48"/>
          <w:lang w:eastAsia="zh-CN"/>
        </w:rPr>
        <w:t>河南盛義和招标代理有限公司</w:t>
      </w:r>
    </w:p>
    <w:p>
      <w:pPr>
        <w:widowControl/>
        <w:spacing w:line="360" w:lineRule="auto"/>
        <w:ind w:left="0" w:leftChars="0" w:firstLine="0" w:firstLineChars="0"/>
        <w:jc w:val="center"/>
        <w:rPr>
          <w:rFonts w:ascii="宋体" w:hAnsi="宋体" w:cs="宋体"/>
          <w:b/>
          <w:sz w:val="32"/>
          <w:szCs w:val="48"/>
        </w:rPr>
      </w:pPr>
      <w:r>
        <w:rPr>
          <w:rFonts w:hint="eastAsia" w:ascii="宋体" w:hAnsi="宋体" w:cs="宋体"/>
          <w:b/>
          <w:sz w:val="32"/>
          <w:szCs w:val="48"/>
        </w:rPr>
        <w:t>日期：二</w:t>
      </w:r>
      <w:r>
        <w:rPr>
          <w:rFonts w:hint="eastAsia" w:ascii="宋体" w:hAnsi="宋体" w:cs="宋体"/>
          <w:b/>
          <w:sz w:val="32"/>
          <w:szCs w:val="48"/>
          <w:lang w:eastAsia="zh-CN"/>
        </w:rPr>
        <w:t>〇</w:t>
      </w:r>
      <w:r>
        <w:rPr>
          <w:rFonts w:hint="eastAsia" w:ascii="宋体" w:hAnsi="宋体" w:cs="宋体"/>
          <w:b/>
          <w:sz w:val="32"/>
          <w:szCs w:val="48"/>
        </w:rPr>
        <w:t>二</w:t>
      </w:r>
      <w:r>
        <w:rPr>
          <w:rFonts w:hint="eastAsia" w:ascii="宋体" w:hAnsi="宋体" w:cs="宋体"/>
          <w:b/>
          <w:sz w:val="32"/>
          <w:szCs w:val="48"/>
          <w:lang w:eastAsia="zh-CN"/>
        </w:rPr>
        <w:t>一</w:t>
      </w:r>
      <w:r>
        <w:rPr>
          <w:rFonts w:hint="eastAsia" w:ascii="宋体" w:hAnsi="宋体" w:cs="宋体"/>
          <w:b/>
          <w:sz w:val="32"/>
          <w:szCs w:val="48"/>
        </w:rPr>
        <w:t>年七月</w:t>
      </w:r>
    </w:p>
    <w:p>
      <w:pPr>
        <w:spacing w:line="364" w:lineRule="auto"/>
        <w:rPr>
          <w:sz w:val="32"/>
        </w:rPr>
        <w:sectPr>
          <w:type w:val="continuous"/>
          <w:pgSz w:w="11910" w:h="16840"/>
          <w:pgMar w:top="1580" w:right="1210" w:bottom="1840" w:left="1240" w:header="720" w:footer="720" w:gutter="0"/>
          <w:cols w:space="720" w:num="1"/>
        </w:sectPr>
      </w:pPr>
    </w:p>
    <w:p>
      <w:pPr>
        <w:pStyle w:val="12"/>
        <w:spacing w:before="1"/>
        <w:rPr>
          <w:b w:val="0"/>
          <w:bCs/>
          <w:sz w:val="30"/>
          <w:szCs w:val="30"/>
        </w:rPr>
      </w:pPr>
    </w:p>
    <w:p>
      <w:pPr>
        <w:spacing w:line="276" w:lineRule="auto"/>
        <w:jc w:val="center"/>
        <w:rPr>
          <w:rFonts w:ascii="宋体" w:hAnsi="宋体" w:eastAsia="宋体"/>
          <w:b/>
          <w:bCs w:val="0"/>
          <w:sz w:val="30"/>
          <w:szCs w:val="30"/>
        </w:rPr>
      </w:pPr>
      <w:bookmarkStart w:id="0" w:name="_bookmark0"/>
      <w:bookmarkEnd w:id="0"/>
      <w:r>
        <w:rPr>
          <w:rFonts w:hint="eastAsia" w:ascii="宋体" w:hAnsi="宋体" w:eastAsia="宋体"/>
          <w:b/>
          <w:bCs w:val="0"/>
          <w:sz w:val="30"/>
          <w:szCs w:val="30"/>
        </w:rPr>
        <w:t>供应商应注意的事项</w:t>
      </w:r>
    </w:p>
    <w:p>
      <w:pPr>
        <w:spacing w:line="360" w:lineRule="auto"/>
        <w:rPr>
          <w:rFonts w:ascii="宋体" w:hAnsi="宋体" w:eastAsia="宋体"/>
          <w:sz w:val="24"/>
          <w:szCs w:val="24"/>
        </w:rPr>
      </w:pPr>
      <w:r>
        <w:rPr>
          <w:rFonts w:hint="eastAsia" w:ascii="宋体" w:hAnsi="宋体" w:eastAsia="宋体"/>
          <w:sz w:val="24"/>
          <w:szCs w:val="24"/>
        </w:rPr>
        <w:t>各供应商：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为保证本次政府采购项目的顺利进行，减少采购过程中，由于响应文件制作不合格等原因导致贵单位响应无效情况的发生，请贵单位仔细阅读磋商文件的每一条款，特别注意以下事项:</w:t>
      </w:r>
    </w:p>
    <w:p>
      <w:pPr>
        <w:spacing w:line="360" w:lineRule="auto"/>
        <w:ind w:firstLine="480" w:firstLineChars="200"/>
        <w:rPr>
          <w:rFonts w:ascii="宋体" w:hAnsi="宋体" w:eastAsia="宋体"/>
          <w:sz w:val="24"/>
          <w:szCs w:val="24"/>
        </w:rPr>
      </w:pPr>
      <w:r>
        <w:rPr>
          <w:rFonts w:hint="eastAsia" w:ascii="宋体" w:hAnsi="宋体" w:eastAsia="宋体"/>
          <w:sz w:val="24"/>
          <w:szCs w:val="24"/>
        </w:rPr>
        <w:t>1、请严格按照磋商文件规定的资格要求提供每一项证明材料（特别注意原件或复印件的要求），并严格自行检查证明材料的有效期、年检、经营期限、签署的有效性等，漏缺或不符合要求将造成资格审查无法通过，为无效响应；磋商文件要求单独提交的资格证明及其它业绩等证明资料务必在提交磋商文件截止时间前提交给采购代理机构。</w:t>
      </w:r>
    </w:p>
    <w:p>
      <w:pPr>
        <w:spacing w:line="360" w:lineRule="auto"/>
        <w:ind w:firstLine="480" w:firstLineChars="200"/>
        <w:rPr>
          <w:rFonts w:ascii="宋体" w:hAnsi="宋体" w:eastAsia="宋体"/>
          <w:sz w:val="24"/>
          <w:szCs w:val="24"/>
        </w:rPr>
      </w:pPr>
      <w:r>
        <w:rPr>
          <w:rFonts w:hint="eastAsia" w:ascii="宋体" w:hAnsi="宋体" w:eastAsia="宋体"/>
          <w:sz w:val="24"/>
          <w:szCs w:val="24"/>
        </w:rPr>
        <w:t>2、请认真研究磋商文件规定的实质性要求和条件所包括的内容，响应文件对此存在偏差，经磋商小组认定属实的，将作无效响应处理。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3、为防止意外情况的发生，请在磋商文件规定的提交磋商文件截止时间前半小时到达现场，截止时间后提交的响应文件恕不受理。</w:t>
      </w:r>
    </w:p>
    <w:p>
      <w:pPr>
        <w:spacing w:line="360" w:lineRule="auto"/>
        <w:ind w:firstLine="480" w:firstLineChars="200"/>
        <w:rPr>
          <w:rFonts w:ascii="宋体" w:hAnsi="宋体" w:eastAsia="宋体"/>
          <w:sz w:val="24"/>
          <w:szCs w:val="24"/>
        </w:rPr>
      </w:pPr>
      <w:r>
        <w:rPr>
          <w:rFonts w:hint="eastAsia" w:ascii="宋体" w:hAnsi="宋体" w:eastAsia="宋体"/>
          <w:sz w:val="24"/>
          <w:szCs w:val="24"/>
        </w:rPr>
        <w:t>4、请认真阅读磋商文件规定的交货期、付款方式、质保期及售后服务等商务要求，在响应文件中应作出满足性或更有利于采购人的响应，不响应的将导致响应无效。</w:t>
      </w:r>
    </w:p>
    <w:p>
      <w:pPr>
        <w:spacing w:line="360" w:lineRule="auto"/>
        <w:ind w:firstLine="480" w:firstLineChars="200"/>
        <w:rPr>
          <w:rFonts w:ascii="宋体" w:hAnsi="宋体" w:eastAsia="宋体"/>
          <w:sz w:val="24"/>
          <w:szCs w:val="24"/>
        </w:rPr>
      </w:pPr>
      <w:r>
        <w:rPr>
          <w:rFonts w:hint="eastAsia" w:ascii="宋体" w:hAnsi="宋体" w:eastAsia="宋体"/>
          <w:sz w:val="24"/>
          <w:szCs w:val="24"/>
        </w:rPr>
        <w:t>5、对供应商的虚假响应、围标串标、无正当理由放弃成交资格、行贿等违法违规行为，查实后，政府采购监管部门将根据《政府采购法》等法律法规处以取消本次磋商资格，罚款，列入不良行为名单，在一至三年内禁止参加政府采购活动的处罚。请各供应商严格自律，诚信参与磋商。</w:t>
      </w:r>
    </w:p>
    <w:p>
      <w:pPr>
        <w:spacing w:line="360" w:lineRule="auto"/>
        <w:ind w:firstLine="482" w:firstLineChars="200"/>
        <w:rPr>
          <w:rFonts w:ascii="宋体" w:hAnsi="宋体" w:eastAsia="宋体"/>
          <w:b/>
          <w:sz w:val="24"/>
          <w:szCs w:val="24"/>
        </w:rPr>
      </w:pPr>
      <w:r>
        <w:rPr>
          <w:rFonts w:hint="eastAsia" w:ascii="宋体" w:hAnsi="宋体" w:eastAsia="宋体"/>
          <w:b/>
          <w:sz w:val="24"/>
          <w:szCs w:val="24"/>
        </w:rPr>
        <w:t>本提示内容并非磋商文件的组成部分，仅为善意提示，如有与磋商文件不一致之处，以磋商文件为准。</w:t>
      </w:r>
    </w:p>
    <w:p>
      <w:pPr>
        <w:tabs>
          <w:tab w:val="left" w:pos="1084"/>
        </w:tabs>
        <w:spacing w:before="50"/>
        <w:ind w:right="275"/>
        <w:jc w:val="center"/>
        <w:rPr>
          <w:b/>
          <w:sz w:val="36"/>
        </w:rPr>
      </w:pPr>
    </w:p>
    <w:p>
      <w:pPr>
        <w:widowControl/>
        <w:autoSpaceDE/>
        <w:autoSpaceDN/>
        <w:rPr>
          <w:b/>
          <w:sz w:val="36"/>
        </w:rPr>
      </w:pPr>
      <w:r>
        <w:rPr>
          <w:b/>
          <w:sz w:val="36"/>
        </w:rPr>
        <w:br w:type="page"/>
      </w:r>
    </w:p>
    <w:sdt>
      <w:sdtPr>
        <w:rPr>
          <w:sz w:val="40"/>
          <w:szCs w:val="40"/>
          <w:lang w:val="zh-CN" w:eastAsia="zh-CN"/>
        </w:rPr>
        <w:id w:val="147457818"/>
        <w15:color w:val="DBDBDB"/>
        <w:docPartObj>
          <w:docPartGallery w:val="Table of Contents"/>
          <w:docPartUnique/>
        </w:docPartObj>
      </w:sdtPr>
      <w:sdtEndPr>
        <w:rPr>
          <w:rFonts w:ascii="楷体" w:hAnsi="楷体" w:eastAsia="楷体" w:cs="楷体"/>
          <w:sz w:val="22"/>
          <w:szCs w:val="22"/>
          <w:lang w:val="zh-CN" w:eastAsia="zh-CN" w:bidi="zh-CN"/>
        </w:rPr>
      </w:sdtEndPr>
      <w:sdtContent>
        <w:p>
          <w:pPr>
            <w:pStyle w:val="3"/>
            <w:bidi w:val="0"/>
            <w:rPr>
              <w:sz w:val="40"/>
              <w:szCs w:val="40"/>
            </w:rPr>
          </w:pPr>
          <w:r>
            <w:rPr>
              <w:sz w:val="40"/>
              <w:szCs w:val="40"/>
            </w:rPr>
            <w:t>目</w:t>
          </w:r>
          <w:r>
            <w:rPr>
              <w:rFonts w:hint="eastAsia"/>
              <w:sz w:val="40"/>
              <w:szCs w:val="40"/>
              <w:lang w:val="en-US" w:eastAsia="zh-CN"/>
            </w:rPr>
            <w:t xml:space="preserve">  </w:t>
          </w:r>
          <w:r>
            <w:rPr>
              <w:sz w:val="40"/>
              <w:szCs w:val="40"/>
            </w:rPr>
            <w:t>录</w:t>
          </w:r>
        </w:p>
        <w:p>
          <w:pPr>
            <w:pStyle w:val="47"/>
            <w:tabs>
              <w:tab w:val="right" w:leader="dot" w:pos="9074"/>
            </w:tabs>
          </w:pPr>
        </w:p>
        <w:p>
          <w:pPr>
            <w:pStyle w:val="47"/>
            <w:tabs>
              <w:tab w:val="right" w:leader="dot" w:pos="9074"/>
            </w:tabs>
          </w:pPr>
        </w:p>
        <w:p>
          <w:pPr>
            <w:pStyle w:val="47"/>
            <w:tabs>
              <w:tab w:val="right" w:leader="dot" w:pos="9074"/>
            </w:tabs>
          </w:pPr>
          <w:r>
            <w:fldChar w:fldCharType="begin"/>
          </w:r>
          <w:r>
            <w:instrText xml:space="preserve">TOC \o "1-1" \h \u </w:instrText>
          </w:r>
          <w:r>
            <w:fldChar w:fldCharType="separate"/>
          </w:r>
        </w:p>
        <w:p>
          <w:pPr>
            <w:pStyle w:val="47"/>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_Toc31349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第一章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竞争性磋商公告</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_Toc31349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4</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47"/>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_Toc12882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 xml:space="preserve">第二章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供应商须知</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_Toc12882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8</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47"/>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_Toc21044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w:t>
          </w:r>
          <w:r>
            <w:rPr>
              <w:rFonts w:hint="eastAsia" w:ascii="宋体" w:hAnsi="宋体" w:eastAsia="宋体" w:cs="宋体"/>
              <w:b/>
              <w:bCs/>
              <w:sz w:val="30"/>
              <w:szCs w:val="30"/>
              <w:lang w:eastAsia="zh-CN"/>
            </w:rPr>
            <w:t>三</w:t>
          </w:r>
          <w:r>
            <w:rPr>
              <w:rFonts w:hint="eastAsia" w:ascii="宋体" w:hAnsi="宋体" w:eastAsia="宋体" w:cs="宋体"/>
              <w:b/>
              <w:bCs/>
              <w:sz w:val="30"/>
              <w:szCs w:val="30"/>
            </w:rPr>
            <w:t xml:space="preserve">章 </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lang w:eastAsia="zh-CN"/>
            </w:rPr>
            <w:t>项目</w:t>
          </w:r>
          <w:r>
            <w:rPr>
              <w:rFonts w:hint="eastAsia" w:ascii="宋体" w:hAnsi="宋体" w:eastAsia="宋体" w:cs="宋体"/>
              <w:b/>
              <w:bCs/>
              <w:sz w:val="30"/>
              <w:szCs w:val="30"/>
            </w:rPr>
            <w:t>要求</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_Toc21044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27</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47"/>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_Toc27857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第</w:t>
          </w:r>
          <w:r>
            <w:rPr>
              <w:rFonts w:hint="eastAsia" w:ascii="宋体" w:hAnsi="宋体" w:eastAsia="宋体" w:cs="宋体"/>
              <w:b/>
              <w:bCs/>
              <w:sz w:val="30"/>
              <w:szCs w:val="30"/>
              <w:lang w:eastAsia="zh-CN"/>
            </w:rPr>
            <w:t>四</w:t>
          </w:r>
          <w:r>
            <w:rPr>
              <w:rFonts w:hint="eastAsia" w:ascii="宋体" w:hAnsi="宋体" w:eastAsia="宋体" w:cs="宋体"/>
              <w:b/>
              <w:bCs/>
              <w:sz w:val="30"/>
              <w:szCs w:val="30"/>
            </w:rPr>
            <w:t>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评审办法</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_Toc27857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30</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47"/>
            <w:tabs>
              <w:tab w:val="right" w:leader="dot" w:pos="9074"/>
            </w:tabs>
            <w:spacing w:line="480" w:lineRule="auto"/>
            <w:rPr>
              <w:rFonts w:hint="eastAsia" w:ascii="宋体" w:hAnsi="宋体" w:eastAsia="宋体" w:cs="宋体"/>
              <w:b/>
              <w:bCs/>
              <w:sz w:val="30"/>
              <w:szCs w:val="30"/>
            </w:rPr>
          </w:pP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HYPERLINK \l _Toc27405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lang w:eastAsia="zh-CN"/>
            </w:rPr>
            <w:t>第五章</w:t>
          </w:r>
          <w:r>
            <w:rPr>
              <w:rFonts w:hint="eastAsia" w:ascii="宋体" w:hAnsi="宋体" w:eastAsia="宋体" w:cs="宋体"/>
              <w:b/>
              <w:bCs/>
              <w:sz w:val="30"/>
              <w:szCs w:val="30"/>
              <w:lang w:val="en-US" w:eastAsia="zh-CN"/>
            </w:rPr>
            <w:t xml:space="preserve">   </w:t>
          </w:r>
          <w:r>
            <w:rPr>
              <w:rFonts w:hint="eastAsia" w:ascii="宋体" w:hAnsi="宋体" w:eastAsia="宋体" w:cs="宋体"/>
              <w:b/>
              <w:bCs/>
              <w:sz w:val="30"/>
              <w:szCs w:val="30"/>
            </w:rPr>
            <w:t>响应文件格式</w:t>
          </w:r>
          <w:r>
            <w:rPr>
              <w:rFonts w:hint="eastAsia" w:ascii="宋体" w:hAnsi="宋体" w:eastAsia="宋体" w:cs="宋体"/>
              <w:b/>
              <w:bCs/>
              <w:sz w:val="30"/>
              <w:szCs w:val="30"/>
            </w:rPr>
            <w:tab/>
          </w:r>
          <w:r>
            <w:rPr>
              <w:rFonts w:hint="eastAsia" w:ascii="宋体" w:hAnsi="宋体" w:eastAsia="宋体" w:cs="宋体"/>
              <w:b/>
              <w:bCs/>
              <w:sz w:val="30"/>
              <w:szCs w:val="30"/>
            </w:rPr>
            <w:fldChar w:fldCharType="begin"/>
          </w:r>
          <w:r>
            <w:rPr>
              <w:rFonts w:hint="eastAsia" w:ascii="宋体" w:hAnsi="宋体" w:eastAsia="宋体" w:cs="宋体"/>
              <w:b/>
              <w:bCs/>
              <w:sz w:val="30"/>
              <w:szCs w:val="30"/>
            </w:rPr>
            <w:instrText xml:space="preserve"> PAGEREF _Toc27405 </w:instrText>
          </w:r>
          <w:r>
            <w:rPr>
              <w:rFonts w:hint="eastAsia" w:ascii="宋体" w:hAnsi="宋体" w:eastAsia="宋体" w:cs="宋体"/>
              <w:b/>
              <w:bCs/>
              <w:sz w:val="30"/>
              <w:szCs w:val="30"/>
            </w:rPr>
            <w:fldChar w:fldCharType="separate"/>
          </w:r>
          <w:r>
            <w:rPr>
              <w:rFonts w:hint="eastAsia" w:ascii="宋体" w:hAnsi="宋体" w:eastAsia="宋体" w:cs="宋体"/>
              <w:b/>
              <w:bCs/>
              <w:sz w:val="30"/>
              <w:szCs w:val="30"/>
            </w:rPr>
            <w:t>36</w:t>
          </w:r>
          <w:r>
            <w:rPr>
              <w:rFonts w:hint="eastAsia" w:ascii="宋体" w:hAnsi="宋体" w:eastAsia="宋体" w:cs="宋体"/>
              <w:b/>
              <w:bCs/>
              <w:sz w:val="30"/>
              <w:szCs w:val="30"/>
            </w:rPr>
            <w:fldChar w:fldCharType="end"/>
          </w:r>
          <w:r>
            <w:rPr>
              <w:rFonts w:hint="eastAsia" w:ascii="宋体" w:hAnsi="宋体" w:eastAsia="宋体" w:cs="宋体"/>
              <w:b/>
              <w:bCs/>
              <w:sz w:val="30"/>
              <w:szCs w:val="30"/>
            </w:rPr>
            <w:fldChar w:fldCharType="end"/>
          </w:r>
        </w:p>
        <w:p>
          <w:pPr>
            <w:pStyle w:val="47"/>
            <w:tabs>
              <w:tab w:val="right" w:leader="dot" w:pos="9074"/>
            </w:tabs>
            <w:spacing w:line="480" w:lineRule="auto"/>
            <w:rPr>
              <w:rFonts w:hint="eastAsia" w:ascii="宋体" w:hAnsi="宋体" w:eastAsia="宋体" w:cs="宋体"/>
              <w:sz w:val="30"/>
              <w:szCs w:val="30"/>
            </w:rPr>
          </w:pPr>
        </w:p>
        <w:p>
          <w:pPr>
            <w:sectPr>
              <w:headerReference r:id="rId5" w:type="default"/>
              <w:footerReference r:id="rId6" w:type="default"/>
              <w:pgSz w:w="11910" w:h="16840"/>
              <w:pgMar w:top="1418" w:right="1418" w:bottom="1878" w:left="1418" w:header="902" w:footer="991" w:gutter="0"/>
              <w:pgNumType w:start="2"/>
              <w:cols w:space="720" w:num="1"/>
              <w:docGrid w:linePitch="299" w:charSpace="0"/>
            </w:sectPr>
          </w:pPr>
          <w:r>
            <w:fldChar w:fldCharType="end"/>
          </w:r>
        </w:p>
      </w:sdtContent>
    </w:sdt>
    <w:p>
      <w:pPr>
        <w:pStyle w:val="3"/>
        <w:tabs>
          <w:tab w:val="left" w:pos="1123"/>
        </w:tabs>
        <w:ind w:right="275"/>
        <w:rPr>
          <w:sz w:val="32"/>
          <w:szCs w:val="32"/>
        </w:rPr>
      </w:pPr>
      <w:bookmarkStart w:id="1" w:name="_TOC_250002"/>
      <w:bookmarkEnd w:id="1"/>
      <w:bookmarkStart w:id="2" w:name="_Toc31349"/>
      <w:r>
        <w:rPr>
          <w:rFonts w:hint="eastAsia" w:ascii="宋体" w:hAnsi="宋体" w:eastAsia="宋体" w:cs="宋体"/>
          <w:sz w:val="32"/>
          <w:szCs w:val="32"/>
        </w:rPr>
        <w:t>第一章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竞争性磋商公告</w:t>
      </w:r>
      <w:bookmarkEnd w:id="2"/>
    </w:p>
    <w:p>
      <w:pPr>
        <w:pStyle w:val="12"/>
        <w:rPr>
          <w:b/>
          <w:sz w:val="28"/>
        </w:rPr>
      </w:pPr>
    </w:p>
    <w:p>
      <w:pPr>
        <w:pStyle w:val="12"/>
        <w:spacing w:before="9"/>
        <w:rPr>
          <w:b/>
          <w:sz w:val="21"/>
        </w:rPr>
      </w:pPr>
    </w:p>
    <w:p>
      <w:pPr>
        <w:pStyle w:val="3"/>
        <w:rPr>
          <w:rFonts w:hint="eastAsia"/>
          <w:lang w:eastAsia="zh-CN"/>
        </w:rPr>
      </w:pPr>
      <w:bookmarkStart w:id="3" w:name="_Toc4151"/>
      <w:r>
        <w:rPr>
          <w:rFonts w:hint="eastAsia"/>
          <w:lang w:eastAsia="zh-CN"/>
        </w:rPr>
        <w:t>洛界高速公路养护专项（2021-2022年度）工程监理</w:t>
      </w:r>
    </w:p>
    <w:p>
      <w:pPr>
        <w:pStyle w:val="3"/>
      </w:pPr>
      <w:r>
        <w:t>竞争性</w:t>
      </w:r>
      <w:r>
        <w:rPr>
          <w:rFonts w:hint="eastAsia"/>
        </w:rPr>
        <w:t>磋商</w:t>
      </w:r>
      <w:r>
        <w:t>公告</w:t>
      </w:r>
      <w:bookmarkEnd w:id="3"/>
    </w:p>
    <w:p>
      <w:pPr>
        <w:spacing w:line="400" w:lineRule="exact"/>
        <w:ind w:right="249" w:rightChars="113" w:firstLine="440" w:firstLineChars="200"/>
      </w:pPr>
    </w:p>
    <w:p>
      <w:pPr>
        <w:tabs>
          <w:tab w:val="left" w:pos="8360"/>
        </w:tabs>
        <w:spacing w:line="500" w:lineRule="exact"/>
        <w:ind w:right="-48" w:rightChars="-22" w:firstLine="480" w:firstLineChars="200"/>
        <w:rPr>
          <w:rFonts w:ascii="宋体" w:hAnsi="宋体" w:eastAsia="宋体" w:cs="宋体"/>
          <w:sz w:val="24"/>
          <w:szCs w:val="24"/>
        </w:rPr>
      </w:pPr>
      <w:r>
        <w:rPr>
          <w:rFonts w:hint="eastAsia" w:ascii="宋体" w:hAnsi="宋体" w:eastAsia="宋体" w:cs="宋体"/>
          <w:sz w:val="24"/>
          <w:szCs w:val="24"/>
          <w:lang w:eastAsia="zh-CN"/>
        </w:rPr>
        <w:t>洛界高速公路养护专项（2021-2022年度）工程监理</w:t>
      </w:r>
      <w:r>
        <w:rPr>
          <w:rFonts w:hint="eastAsia" w:ascii="宋体" w:hAnsi="宋体" w:eastAsia="宋体" w:cs="宋体"/>
          <w:sz w:val="24"/>
          <w:szCs w:val="24"/>
        </w:rPr>
        <w:t>已经相关部门批准建设，前期工作已准备就绪，具备招标条件。</w:t>
      </w:r>
      <w:r>
        <w:rPr>
          <w:rFonts w:hint="eastAsia" w:ascii="宋体" w:hAnsi="宋体" w:eastAsia="宋体" w:cs="宋体"/>
          <w:sz w:val="24"/>
          <w:szCs w:val="24"/>
          <w:lang w:eastAsia="zh-CN"/>
        </w:rPr>
        <w:t>河南盛義和招标代理有限公司</w:t>
      </w:r>
      <w:r>
        <w:rPr>
          <w:rFonts w:hint="eastAsia" w:ascii="宋体" w:hAnsi="宋体" w:eastAsia="宋体" w:cs="宋体"/>
          <w:sz w:val="24"/>
          <w:szCs w:val="24"/>
        </w:rPr>
        <w:t>受洛阳市公路管理局洛界高速公路管理处委托，对该项目进行</w:t>
      </w:r>
      <w:r>
        <w:rPr>
          <w:rFonts w:hint="eastAsia" w:ascii="宋体" w:hAnsi="宋体" w:eastAsia="宋体" w:cs="宋体"/>
          <w:sz w:val="24"/>
          <w:szCs w:val="24"/>
          <w:lang w:eastAsia="zh-CN"/>
        </w:rPr>
        <w:t>竞争性磋商</w:t>
      </w:r>
      <w:r>
        <w:rPr>
          <w:rFonts w:hint="eastAsia" w:ascii="宋体" w:hAnsi="宋体" w:eastAsia="宋体" w:cs="宋体"/>
          <w:sz w:val="24"/>
          <w:szCs w:val="24"/>
        </w:rPr>
        <w:t>招标，欢迎符合要求的供应商参加。</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一</w:t>
      </w:r>
      <w:r>
        <w:rPr>
          <w:rFonts w:hint="eastAsia" w:ascii="宋体" w:hAnsi="宋体" w:eastAsia="宋体" w:cs="宋体"/>
          <w:b/>
          <w:bCs/>
          <w:sz w:val="24"/>
          <w:szCs w:val="24"/>
        </w:rPr>
        <w:t>、项目概况与招标范围</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项目名称及编号：</w:t>
      </w:r>
      <w:r>
        <w:rPr>
          <w:rFonts w:hint="eastAsia" w:ascii="宋体" w:hAnsi="宋体" w:eastAsia="宋体" w:cs="宋体"/>
          <w:sz w:val="24"/>
          <w:szCs w:val="24"/>
          <w:lang w:eastAsia="zh-CN"/>
        </w:rPr>
        <w:t>洛界高速公路养护专项（2021-2022年度）工程监理</w:t>
      </w:r>
      <w:r>
        <w:rPr>
          <w:rFonts w:hint="eastAsia" w:ascii="宋体" w:hAnsi="宋体" w:eastAsia="宋体" w:cs="宋体"/>
          <w:sz w:val="24"/>
          <w:szCs w:val="24"/>
        </w:rPr>
        <w:t>，</w:t>
      </w:r>
      <w:r>
        <w:rPr>
          <w:rFonts w:hint="eastAsia" w:ascii="宋体" w:hAnsi="宋体" w:eastAsia="宋体" w:cs="宋体"/>
          <w:sz w:val="24"/>
          <w:szCs w:val="24"/>
          <w:lang w:eastAsia="zh-CN"/>
        </w:rPr>
        <w:t>HNSYH-2021-0714</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项目地点：洛界高速全线</w:t>
      </w:r>
    </w:p>
    <w:p>
      <w:pPr>
        <w:numPr>
          <w:ilvl w:val="0"/>
          <w:numId w:val="1"/>
        </w:numPr>
        <w:spacing w:line="500" w:lineRule="exact"/>
        <w:ind w:right="249" w:rightChars="113"/>
        <w:rPr>
          <w:rFonts w:hint="eastAsia" w:ascii="宋体" w:hAnsi="宋体" w:eastAsia="宋体" w:cs="宋体"/>
          <w:sz w:val="24"/>
          <w:szCs w:val="24"/>
        </w:rPr>
      </w:pPr>
      <w:r>
        <w:rPr>
          <w:rFonts w:hint="eastAsia" w:ascii="宋体" w:hAnsi="宋体" w:eastAsia="宋体" w:cs="宋体"/>
          <w:sz w:val="24"/>
          <w:szCs w:val="24"/>
        </w:rPr>
        <w:t>预算金额：</w:t>
      </w:r>
      <w:r>
        <w:rPr>
          <w:rFonts w:hint="eastAsia" w:ascii="宋体" w:hAnsi="宋体" w:eastAsia="宋体" w:cs="宋体"/>
          <w:sz w:val="24"/>
          <w:szCs w:val="24"/>
          <w:lang w:eastAsia="zh-CN"/>
        </w:rPr>
        <w:t>监理控制价为：</w:t>
      </w:r>
      <w:r>
        <w:rPr>
          <w:rFonts w:hint="eastAsia" w:ascii="宋体" w:hAnsi="宋体" w:eastAsia="宋体" w:cs="宋体"/>
          <w:sz w:val="24"/>
          <w:szCs w:val="24"/>
          <w:lang w:val="en-US" w:eastAsia="zh-CN"/>
        </w:rPr>
        <w:t>35.83万元，费率为2.61%</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服务期限：</w:t>
      </w:r>
      <w:r>
        <w:rPr>
          <w:rFonts w:hint="eastAsia" w:ascii="宋体" w:hAnsi="宋体" w:eastAsia="宋体" w:cs="宋体"/>
          <w:sz w:val="24"/>
          <w:szCs w:val="24"/>
          <w:lang w:eastAsia="zh-CN"/>
        </w:rPr>
        <w:t>施工工期24个月及缺陷责任服务期</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质量目标：符合国家质量验收备案标准</w:t>
      </w:r>
    </w:p>
    <w:p>
      <w:pPr>
        <w:numPr>
          <w:ilvl w:val="0"/>
          <w:numId w:val="1"/>
        </w:numPr>
        <w:spacing w:line="500" w:lineRule="exact"/>
        <w:ind w:right="249" w:rightChars="113"/>
        <w:rPr>
          <w:rFonts w:ascii="宋体" w:hAnsi="宋体" w:eastAsia="宋体" w:cs="宋体"/>
          <w:color w:val="auto"/>
          <w:sz w:val="24"/>
          <w:szCs w:val="24"/>
        </w:rPr>
      </w:pPr>
      <w:r>
        <w:rPr>
          <w:rFonts w:hint="eastAsia" w:ascii="宋体" w:hAnsi="宋体" w:eastAsia="宋体" w:cs="宋体"/>
          <w:color w:val="auto"/>
          <w:sz w:val="24"/>
          <w:szCs w:val="24"/>
        </w:rPr>
        <w:t>招标范围：本工程施工阶段、保修阶段及缺陷责任期阶段的全过程监理工作；</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安全目标：杜绝重伤、死亡事故；</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扬尘防治目标：做到“七个100%”，八个必须；</w:t>
      </w:r>
    </w:p>
    <w:p>
      <w:pPr>
        <w:numPr>
          <w:ilvl w:val="0"/>
          <w:numId w:val="1"/>
        </w:numPr>
        <w:spacing w:line="500" w:lineRule="exact"/>
        <w:ind w:right="249" w:rightChars="113"/>
        <w:rPr>
          <w:rFonts w:ascii="宋体" w:hAnsi="宋体" w:eastAsia="宋体" w:cs="宋体"/>
          <w:sz w:val="24"/>
          <w:szCs w:val="24"/>
        </w:rPr>
      </w:pPr>
      <w:r>
        <w:rPr>
          <w:rFonts w:hint="eastAsia" w:ascii="宋体" w:hAnsi="宋体" w:eastAsia="宋体" w:cs="宋体"/>
          <w:sz w:val="24"/>
          <w:szCs w:val="24"/>
        </w:rPr>
        <w:t>本次招标不接受联合体投标</w:t>
      </w:r>
    </w:p>
    <w:p>
      <w:pPr>
        <w:spacing w:line="500" w:lineRule="exact"/>
        <w:ind w:right="249" w:rightChars="113" w:firstLine="482" w:firstLineChars="200"/>
        <w:rPr>
          <w:rFonts w:ascii="宋体" w:hAnsi="宋体" w:eastAsia="宋体" w:cs="宋体"/>
          <w:b w:val="0"/>
          <w:bCs w:val="0"/>
          <w:sz w:val="24"/>
          <w:szCs w:val="24"/>
          <w:lang w:val="en-US"/>
        </w:rPr>
      </w:pPr>
      <w:r>
        <w:rPr>
          <w:rFonts w:hint="eastAsia" w:ascii="宋体" w:hAnsi="宋体" w:eastAsia="宋体" w:cs="宋体"/>
          <w:b/>
          <w:bCs/>
          <w:sz w:val="24"/>
          <w:szCs w:val="24"/>
          <w:lang w:val="en-US"/>
        </w:rPr>
        <w:t>二、政府采购政策：</w:t>
      </w:r>
      <w:r>
        <w:rPr>
          <w:rFonts w:hint="eastAsia" w:ascii="宋体" w:hAnsi="宋体" w:eastAsia="宋体" w:cs="宋体"/>
          <w:b/>
          <w:bCs/>
          <w:sz w:val="24"/>
          <w:szCs w:val="24"/>
          <w:lang w:val="en-US"/>
        </w:rPr>
        <w:t>面向中小微（监狱、残疾人福利性单位）企业。</w:t>
      </w:r>
    </w:p>
    <w:p>
      <w:pPr>
        <w:spacing w:line="500" w:lineRule="exact"/>
        <w:ind w:right="249" w:rightChars="113" w:firstLine="482" w:firstLineChars="200"/>
        <w:rPr>
          <w:rFonts w:ascii="宋体" w:hAnsi="宋体" w:eastAsia="宋体" w:cs="宋体"/>
          <w:b/>
          <w:bCs/>
          <w:sz w:val="24"/>
          <w:szCs w:val="24"/>
          <w:lang w:val="en-US"/>
        </w:rPr>
      </w:pPr>
      <w:r>
        <w:rPr>
          <w:rFonts w:hint="eastAsia" w:ascii="宋体" w:hAnsi="宋体" w:eastAsia="宋体" w:cs="宋体"/>
          <w:b/>
          <w:bCs/>
          <w:sz w:val="24"/>
          <w:szCs w:val="24"/>
          <w:lang w:val="en-US"/>
        </w:rPr>
        <w:t>三、供应商资格要求：</w:t>
      </w:r>
    </w:p>
    <w:p>
      <w:pPr>
        <w:spacing w:line="500" w:lineRule="exact"/>
        <w:ind w:right="249" w:rightChars="113" w:firstLine="480" w:firstLineChars="200"/>
        <w:rPr>
          <w:rFonts w:ascii="宋体" w:hAnsi="宋体" w:eastAsia="宋体" w:cs="宋体"/>
          <w:sz w:val="24"/>
          <w:szCs w:val="24"/>
          <w:lang w:val="en-US"/>
        </w:rPr>
      </w:pPr>
      <w:r>
        <w:rPr>
          <w:rFonts w:hint="eastAsia" w:ascii="宋体" w:hAnsi="宋体" w:eastAsia="宋体" w:cs="宋体"/>
          <w:sz w:val="24"/>
          <w:szCs w:val="24"/>
          <w:lang w:val="en-US"/>
        </w:rPr>
        <w:t>合格供应商除符合《政府采购法》第22条外，还必须符合下列条件</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供应商须具备交通运输主管部门颁发的公路工程</w:t>
      </w:r>
      <w:r>
        <w:rPr>
          <w:rFonts w:hint="eastAsia" w:ascii="宋体" w:hAnsi="宋体" w:eastAsia="宋体" w:cs="宋体"/>
          <w:sz w:val="24"/>
          <w:szCs w:val="24"/>
          <w:highlight w:val="none"/>
          <w:lang w:val="en-US"/>
        </w:rPr>
        <w:t>专业</w:t>
      </w:r>
      <w:r>
        <w:rPr>
          <w:rFonts w:hint="eastAsia" w:ascii="宋体" w:hAnsi="宋体" w:eastAsia="宋体" w:cs="宋体"/>
          <w:sz w:val="24"/>
          <w:szCs w:val="24"/>
          <w:highlight w:val="none"/>
          <w:lang w:val="en-US" w:eastAsia="zh-CN"/>
        </w:rPr>
        <w:t>甲级监理资质</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且信誉良好，并在人员、设备、资金等方面具备相应的能力；</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拟派项目总监须具有公路工程监理工程师资格，中级（含）及以上技术职称，须提供劳动合同及</w:t>
      </w:r>
      <w:r>
        <w:rPr>
          <w:rFonts w:hint="eastAsia" w:ascii="宋体" w:hAnsi="宋体" w:eastAsia="宋体" w:cs="宋体"/>
          <w:sz w:val="24"/>
          <w:szCs w:val="24"/>
          <w:lang w:val="en-US" w:eastAsia="zh-CN"/>
        </w:rPr>
        <w:t>2020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月以来至今连续缴纳半年的社保证明（社保证明指由社保部门出具的在本单位缴纳社保的明细或在社保部门官方网站下载的带有社保机构印章的证明材料）</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供应商近五年（201</w:t>
      </w:r>
      <w:r>
        <w:rPr>
          <w:rFonts w:hint="eastAsia" w:ascii="宋体" w:hAnsi="宋体" w:eastAsia="宋体" w:cs="宋体"/>
          <w:sz w:val="24"/>
          <w:szCs w:val="24"/>
          <w:lang w:val="en-US" w:eastAsia="zh-CN"/>
        </w:rPr>
        <w:t>6</w:t>
      </w:r>
      <w:r>
        <w:rPr>
          <w:rFonts w:hint="eastAsia" w:ascii="宋体" w:hAnsi="宋体" w:eastAsia="宋体" w:cs="宋体"/>
          <w:sz w:val="24"/>
          <w:szCs w:val="24"/>
          <w:lang w:val="en-US"/>
        </w:rPr>
        <w:t>年1月以来）独立承担不少于1条高速公路养护工程的类似监理业务。</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财务要求：供应商应具有良好的财务状况,没有处于财产被接管、冻结、破产或其他不良状态，无重大不良资产或不良投资项目。须提供连续三年（2018年、2019年</w:t>
      </w:r>
      <w:r>
        <w:rPr>
          <w:rFonts w:hint="eastAsia" w:ascii="宋体" w:hAnsi="宋体" w:eastAsia="宋体" w:cs="宋体"/>
          <w:sz w:val="24"/>
          <w:szCs w:val="24"/>
          <w:lang w:val="en-US" w:eastAsia="zh-CN"/>
        </w:rPr>
        <w:t>、2020年</w:t>
      </w:r>
      <w:r>
        <w:rPr>
          <w:rFonts w:hint="eastAsia" w:ascii="宋体" w:hAnsi="宋体" w:eastAsia="宋体" w:cs="宋体"/>
          <w:sz w:val="24"/>
          <w:szCs w:val="24"/>
          <w:lang w:val="en-US"/>
        </w:rPr>
        <w:t>度）经会计事务所或审计机构审计的财务审会计报表，供应商成立不满三年的提供成立以来的财务状况表；</w:t>
      </w:r>
    </w:p>
    <w:p>
      <w:pPr>
        <w:numPr>
          <w:ilvl w:val="0"/>
          <w:numId w:val="2"/>
        </w:numPr>
        <w:spacing w:line="500" w:lineRule="exact"/>
        <w:ind w:left="40" w:leftChars="0" w:right="249" w:rightChars="113" w:firstLineChars="0"/>
        <w:jc w:val="both"/>
        <w:rPr>
          <w:rFonts w:ascii="宋体" w:hAnsi="宋体" w:eastAsia="宋体" w:cs="宋体"/>
          <w:sz w:val="24"/>
          <w:szCs w:val="24"/>
          <w:lang w:val="en-US"/>
        </w:rPr>
      </w:pPr>
      <w:r>
        <w:rPr>
          <w:rFonts w:hint="eastAsia" w:ascii="宋体" w:hAnsi="宋体" w:eastAsia="宋体" w:cs="宋体"/>
          <w:sz w:val="24"/>
          <w:szCs w:val="24"/>
          <w:lang w:val="en-US"/>
        </w:rPr>
        <w:t>纳税及社保要求：供应商须提供20</w:t>
      </w:r>
      <w:r>
        <w:rPr>
          <w:rFonts w:hint="eastAsia" w:ascii="宋体" w:hAnsi="宋体" w:eastAsia="宋体" w:cs="宋体"/>
          <w:sz w:val="24"/>
          <w:szCs w:val="24"/>
          <w:lang w:val="en-US" w:eastAsia="zh-CN"/>
        </w:rPr>
        <w:t>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至今任意连续6个月份依法缴纳税收和社会保障资金的证明资料扫描件：缴纳增值税或企业所得税的凭据；缴纳社会保险的凭据（专用收据或社会保险缴纳清单）。依法免税或不需要缴纳社会保障资金的供应商，应提供相应文件证明其依法免税或不需要缴纳社会保障资金；</w:t>
      </w:r>
    </w:p>
    <w:p>
      <w:pPr>
        <w:numPr>
          <w:ilvl w:val="0"/>
          <w:numId w:val="2"/>
        </w:numPr>
        <w:spacing w:line="500" w:lineRule="exact"/>
        <w:ind w:left="40" w:leftChars="0" w:right="249" w:rightChars="113" w:firstLineChars="0"/>
        <w:jc w:val="both"/>
        <w:rPr>
          <w:rFonts w:ascii="宋体" w:hAnsi="宋体" w:eastAsia="宋体" w:cs="宋体"/>
          <w:sz w:val="24"/>
          <w:szCs w:val="24"/>
        </w:rPr>
      </w:pPr>
      <w:r>
        <w:rPr>
          <w:rFonts w:hint="eastAsia" w:ascii="宋体" w:hAnsi="宋体" w:eastAsia="宋体" w:cs="宋体"/>
          <w:sz w:val="24"/>
          <w:szCs w:val="24"/>
          <w:lang w:val="en-US"/>
        </w:rPr>
        <w:t>信誉要求：根据《财政部关于在政府采购活动中查询及使用信用记录有关问题的通知》（财库〔2016〕125 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的供应商将被拒绝参加投标。供应商必须将本公司在上述三个网站相关栏目的信用记录截图截图附在投标文件中（查询日期为公告发出之后）</w:t>
      </w:r>
    </w:p>
    <w:p>
      <w:pPr>
        <w:numPr>
          <w:ilvl w:val="0"/>
          <w:numId w:val="2"/>
        </w:numPr>
        <w:spacing w:line="500" w:lineRule="exact"/>
        <w:ind w:left="40" w:leftChars="0" w:right="249" w:rightChars="113" w:firstLineChars="0"/>
        <w:jc w:val="both"/>
        <w:rPr>
          <w:rFonts w:ascii="宋体" w:hAnsi="宋体" w:eastAsia="宋体" w:cs="宋体"/>
          <w:sz w:val="24"/>
          <w:szCs w:val="24"/>
        </w:rPr>
      </w:pPr>
      <w:r>
        <w:rPr>
          <w:rFonts w:hint="eastAsia" w:ascii="宋体" w:hAnsi="宋体" w:eastAsia="宋体" w:cs="宋体"/>
          <w:sz w:val="24"/>
          <w:szCs w:val="24"/>
        </w:rPr>
        <w:t>本次采购实行资格后审；本项目不接受联合体投标。</w:t>
      </w:r>
    </w:p>
    <w:p>
      <w:pPr>
        <w:spacing w:line="500" w:lineRule="exact"/>
        <w:ind w:right="249" w:rightChars="113" w:firstLine="482" w:firstLineChars="200"/>
        <w:rPr>
          <w:rFonts w:ascii="宋体" w:hAnsi="宋体" w:eastAsia="宋体" w:cs="宋体"/>
          <w:sz w:val="24"/>
          <w:szCs w:val="24"/>
        </w:rPr>
      </w:pPr>
      <w:r>
        <w:rPr>
          <w:rFonts w:hint="eastAsia" w:ascii="宋体" w:hAnsi="宋体" w:eastAsia="宋体" w:cs="宋体"/>
          <w:b/>
          <w:bCs/>
          <w:sz w:val="24"/>
          <w:szCs w:val="24"/>
        </w:rPr>
        <w:t>供应商报名时需携带资料以上资料</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备注：1.上述所有证件要求报名时出示加盖单位公章的复印件一套（法定代表人授权委托书留原件）所有复印件必须是清晰、完整的，投标申请人应将相关证件的变更、延期等材料一并复印盖章，资料不完整不清晰的，工作人员将不予接纳，由此造成的后果由申请人自行承担，具体以“供应商资格要求”为准。</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2.开标现场要求委托人携带有效身份证明原件参加，逾期到达或未到达指定地点的， 采购人不予受理。</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四、</w:t>
      </w:r>
      <w:r>
        <w:rPr>
          <w:rFonts w:hint="eastAsia" w:ascii="宋体" w:hAnsi="宋体" w:eastAsia="宋体" w:cs="宋体"/>
          <w:b/>
          <w:bCs/>
          <w:sz w:val="24"/>
          <w:szCs w:val="24"/>
        </w:rPr>
        <w:t>磋商文件的获取</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报名时</w:t>
      </w:r>
      <w:r>
        <w:rPr>
          <w:rFonts w:hint="eastAsia" w:ascii="宋体" w:hAnsi="宋体" w:eastAsia="宋体" w:cs="宋体"/>
          <w:color w:val="auto"/>
          <w:sz w:val="24"/>
          <w:szCs w:val="24"/>
        </w:rPr>
        <w:t>间：</w:t>
      </w:r>
      <w:r>
        <w:rPr>
          <w:rFonts w:hint="eastAsia" w:ascii="宋体" w:hAnsi="宋体" w:eastAsia="宋体" w:cs="宋体"/>
          <w:color w:val="auto"/>
          <w:sz w:val="24"/>
          <w:szCs w:val="24"/>
          <w:lang w:val="en-US"/>
        </w:rPr>
        <w:t>202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26</w:t>
      </w:r>
      <w:r>
        <w:rPr>
          <w:rFonts w:hint="eastAsia" w:ascii="宋体" w:hAnsi="宋体" w:eastAsia="宋体" w:cs="宋体"/>
          <w:color w:val="auto"/>
          <w:sz w:val="24"/>
          <w:szCs w:val="24"/>
        </w:rPr>
        <w:t>日至 20</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30</w:t>
      </w:r>
      <w:r>
        <w:rPr>
          <w:rFonts w:hint="eastAsia" w:ascii="宋体" w:hAnsi="宋体" w:eastAsia="宋体" w:cs="宋体"/>
          <w:color w:val="auto"/>
          <w:sz w:val="24"/>
          <w:szCs w:val="24"/>
        </w:rPr>
        <w:t>日（法定公休日、节假日除外），上午9:00 时至11：30时，下午</w:t>
      </w:r>
      <w:r>
        <w:rPr>
          <w:rFonts w:hint="eastAsia" w:ascii="宋体" w:hAnsi="宋体" w:eastAsia="宋体" w:cs="宋体"/>
          <w:color w:val="auto"/>
          <w:sz w:val="24"/>
          <w:szCs w:val="24"/>
          <w:lang w:val="en-US"/>
        </w:rPr>
        <w:t>15</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rPr>
        <w:t>0时至1</w:t>
      </w:r>
      <w:r>
        <w:rPr>
          <w:rFonts w:hint="eastAsia" w:ascii="宋体" w:hAnsi="宋体" w:eastAsia="宋体" w:cs="宋体"/>
          <w:color w:val="auto"/>
          <w:sz w:val="24"/>
          <w:szCs w:val="24"/>
          <w:lang w:val="en-US"/>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rPr>
        <w:t>0</w:t>
      </w:r>
      <w:r>
        <w:rPr>
          <w:rFonts w:hint="eastAsia" w:ascii="宋体" w:hAnsi="宋体" w:eastAsia="宋体" w:cs="宋体"/>
          <w:color w:val="auto"/>
          <w:sz w:val="24"/>
          <w:szCs w:val="24"/>
        </w:rPr>
        <w:t>0时（北京时间，下同）；</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报名地点：</w:t>
      </w:r>
      <w:r>
        <w:rPr>
          <w:rFonts w:hint="eastAsia" w:ascii="宋体" w:hAnsi="宋体" w:eastAsia="宋体" w:cs="宋体"/>
          <w:color w:val="FF0000"/>
          <w:sz w:val="24"/>
          <w:szCs w:val="24"/>
          <w:lang w:eastAsia="zh-CN"/>
        </w:rPr>
        <w:t>中国（河南）自由贸易试验区洛阳片区高新区春城路15号宏矗科技大楼1510室</w:t>
      </w:r>
      <w:r>
        <w:rPr>
          <w:rFonts w:hint="eastAsia" w:ascii="宋体" w:hAnsi="宋体" w:eastAsia="宋体" w:cs="宋体"/>
          <w:sz w:val="24"/>
          <w:szCs w:val="24"/>
        </w:rPr>
        <w:t>；</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文件工本费每套售价300元/份，售后不退。</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五、</w:t>
      </w:r>
      <w:r>
        <w:rPr>
          <w:rFonts w:hint="eastAsia" w:ascii="宋体" w:hAnsi="宋体" w:eastAsia="宋体" w:cs="宋体"/>
          <w:b/>
          <w:bCs/>
          <w:sz w:val="24"/>
          <w:szCs w:val="24"/>
        </w:rPr>
        <w:t>响应文件的投递</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响应文件递交截止时间及开标</w:t>
      </w:r>
      <w:r>
        <w:rPr>
          <w:rFonts w:hint="eastAsia" w:ascii="宋体" w:hAnsi="宋体" w:eastAsia="宋体" w:cs="宋体"/>
          <w:color w:val="auto"/>
          <w:sz w:val="24"/>
          <w:szCs w:val="24"/>
        </w:rPr>
        <w:t>时间：20</w:t>
      </w:r>
      <w:r>
        <w:rPr>
          <w:rFonts w:hint="eastAsia" w:ascii="宋体" w:hAnsi="宋体" w:eastAsia="宋体" w:cs="宋体"/>
          <w:color w:val="auto"/>
          <w:sz w:val="24"/>
          <w:szCs w:val="24"/>
          <w:lang w:val="en-US"/>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日上午</w:t>
      </w:r>
      <w:r>
        <w:rPr>
          <w:rFonts w:hint="eastAsia" w:ascii="宋体" w:hAnsi="宋体" w:eastAsia="宋体" w:cs="宋体"/>
          <w:color w:val="auto"/>
          <w:sz w:val="24"/>
          <w:szCs w:val="24"/>
          <w:lang w:val="en-US"/>
        </w:rPr>
        <w:t>9</w:t>
      </w:r>
      <w:r>
        <w:rPr>
          <w:rFonts w:hint="eastAsia" w:ascii="宋体" w:hAnsi="宋体" w:eastAsia="宋体" w:cs="宋体"/>
          <w:color w:val="auto"/>
          <w:sz w:val="24"/>
          <w:szCs w:val="24"/>
        </w:rPr>
        <w:t>时30分（北京</w:t>
      </w:r>
      <w:r>
        <w:rPr>
          <w:rFonts w:hint="eastAsia" w:ascii="宋体" w:hAnsi="宋体" w:eastAsia="宋体" w:cs="宋体"/>
          <w:sz w:val="24"/>
          <w:szCs w:val="24"/>
        </w:rPr>
        <w:t>时间）</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递交响应文件地点及开标地点：</w:t>
      </w:r>
      <w:r>
        <w:rPr>
          <w:rFonts w:hint="eastAsia" w:ascii="宋体" w:hAnsi="宋体" w:eastAsia="宋体" w:cs="宋体"/>
          <w:color w:val="FF0000"/>
          <w:sz w:val="24"/>
          <w:szCs w:val="24"/>
          <w:lang w:eastAsia="zh-CN"/>
        </w:rPr>
        <w:t>中国（河南）自由贸易试验区洛阳片区高新区春城路15号宏矗科技大楼1510室</w:t>
      </w:r>
      <w:r>
        <w:rPr>
          <w:rFonts w:hint="eastAsia" w:ascii="宋体" w:hAnsi="宋体" w:eastAsia="宋体" w:cs="宋体"/>
          <w:color w:val="FF0000"/>
          <w:sz w:val="24"/>
          <w:szCs w:val="24"/>
        </w:rPr>
        <w:t>开标室</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逾期送达的或者未送达指定地点的投标文件，采购人不予受理。</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lang w:val="en-US"/>
        </w:rPr>
        <w:t>六、</w:t>
      </w:r>
      <w:r>
        <w:rPr>
          <w:rFonts w:hint="eastAsia" w:ascii="宋体" w:hAnsi="宋体" w:eastAsia="宋体" w:cs="宋体"/>
          <w:b/>
          <w:bCs/>
          <w:sz w:val="24"/>
          <w:szCs w:val="24"/>
        </w:rPr>
        <w:t>发布公告的媒介</w:t>
      </w:r>
    </w:p>
    <w:p>
      <w:pPr>
        <w:spacing w:line="500" w:lineRule="exact"/>
        <w:ind w:right="249" w:rightChars="113" w:firstLine="480" w:firstLineChars="200"/>
        <w:rPr>
          <w:rFonts w:ascii="宋体" w:hAnsi="宋体" w:eastAsia="宋体" w:cs="宋体"/>
          <w:sz w:val="24"/>
          <w:szCs w:val="24"/>
        </w:rPr>
      </w:pPr>
      <w:r>
        <w:rPr>
          <w:rFonts w:hint="eastAsia" w:ascii="宋体" w:hAnsi="宋体" w:eastAsia="宋体" w:cs="宋体"/>
          <w:sz w:val="24"/>
          <w:szCs w:val="24"/>
        </w:rPr>
        <w:t>本公告同时在《</w:t>
      </w:r>
      <w:r>
        <w:rPr>
          <w:rFonts w:hint="eastAsia" w:ascii="宋体" w:hAnsi="宋体" w:eastAsia="宋体" w:cs="宋体"/>
          <w:sz w:val="24"/>
          <w:szCs w:val="24"/>
          <w:lang w:eastAsia="zh-CN"/>
        </w:rPr>
        <w:t>洛阳市招标采购网</w:t>
      </w:r>
      <w:r>
        <w:rPr>
          <w:rFonts w:hint="eastAsia" w:ascii="宋体" w:hAnsi="宋体" w:eastAsia="宋体" w:cs="宋体"/>
          <w:sz w:val="24"/>
          <w:szCs w:val="24"/>
        </w:rPr>
        <w:t>》、《洛阳市</w:t>
      </w:r>
      <w:r>
        <w:rPr>
          <w:rFonts w:hint="eastAsia" w:ascii="宋体" w:hAnsi="宋体" w:eastAsia="宋体" w:cs="宋体"/>
          <w:sz w:val="24"/>
          <w:szCs w:val="24"/>
          <w:lang w:eastAsia="zh-CN"/>
        </w:rPr>
        <w:t>公路管理局洛界高速公路管理处</w:t>
      </w:r>
      <w:r>
        <w:rPr>
          <w:rFonts w:hint="eastAsia" w:ascii="宋体" w:hAnsi="宋体" w:eastAsia="宋体" w:cs="宋体"/>
          <w:sz w:val="24"/>
          <w:szCs w:val="24"/>
        </w:rPr>
        <w:t>网</w:t>
      </w:r>
      <w:r>
        <w:rPr>
          <w:rFonts w:hint="eastAsia" w:ascii="宋体" w:hAnsi="宋体" w:eastAsia="宋体" w:cs="宋体"/>
          <w:sz w:val="24"/>
          <w:szCs w:val="24"/>
          <w:lang w:eastAsia="zh-CN"/>
        </w:rPr>
        <w:t>站</w:t>
      </w:r>
      <w:r>
        <w:rPr>
          <w:rFonts w:hint="eastAsia" w:ascii="宋体" w:hAnsi="宋体" w:eastAsia="宋体" w:cs="宋体"/>
          <w:sz w:val="24"/>
          <w:szCs w:val="24"/>
        </w:rPr>
        <w:t>》上发布。</w:t>
      </w:r>
    </w:p>
    <w:p>
      <w:p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七、采购人名称、地址、联系人和电话：</w:t>
      </w:r>
    </w:p>
    <w:p>
      <w:pPr>
        <w:pStyle w:val="12"/>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采购人：洛阳市公路管理局洛界高速公路管理处</w:t>
      </w:r>
    </w:p>
    <w:p>
      <w:pPr>
        <w:pStyle w:val="12"/>
        <w:spacing w:line="500" w:lineRule="exact"/>
        <w:ind w:firstLine="480" w:firstLineChars="200"/>
        <w:rPr>
          <w:rFonts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lang w:eastAsia="zh-CN"/>
        </w:rPr>
        <w:t>洛阳市瀍河区中州东路二广高速收费站</w:t>
      </w:r>
      <w:r>
        <w:rPr>
          <w:rFonts w:hint="eastAsia" w:ascii="宋体" w:hAnsi="宋体" w:eastAsia="宋体" w:cs="宋体"/>
          <w:sz w:val="24"/>
          <w:szCs w:val="24"/>
        </w:rPr>
        <w:t xml:space="preserve"> </w:t>
      </w:r>
    </w:p>
    <w:p>
      <w:pPr>
        <w:pStyle w:val="12"/>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阴先生</w:t>
      </w:r>
    </w:p>
    <w:p>
      <w:pPr>
        <w:spacing w:line="500" w:lineRule="exact"/>
        <w:ind w:left="440" w:leftChars="200" w:right="249" w:rightChars="113"/>
        <w:rPr>
          <w:rFonts w:ascii="宋体" w:hAnsi="宋体" w:eastAsia="宋体" w:cs="宋体"/>
          <w:sz w:val="24"/>
          <w:szCs w:val="24"/>
        </w:rPr>
      </w:pPr>
      <w:r>
        <w:rPr>
          <w:rFonts w:hint="eastAsia" w:ascii="宋体" w:hAnsi="宋体" w:eastAsia="宋体" w:cs="宋体"/>
          <w:sz w:val="24"/>
          <w:szCs w:val="24"/>
        </w:rPr>
        <w:t xml:space="preserve">电  话:0379-65822312 </w:t>
      </w:r>
    </w:p>
    <w:p>
      <w:pPr>
        <w:numPr>
          <w:ilvl w:val="0"/>
          <w:numId w:val="3"/>
        </w:numPr>
        <w:spacing w:line="500" w:lineRule="exact"/>
        <w:ind w:right="249" w:rightChars="113" w:firstLine="482" w:firstLineChars="200"/>
        <w:rPr>
          <w:rFonts w:ascii="宋体" w:hAnsi="宋体" w:eastAsia="宋体" w:cs="宋体"/>
          <w:b/>
          <w:bCs/>
          <w:sz w:val="24"/>
          <w:szCs w:val="24"/>
        </w:rPr>
      </w:pPr>
      <w:r>
        <w:rPr>
          <w:rFonts w:hint="eastAsia" w:ascii="宋体" w:hAnsi="宋体" w:eastAsia="宋体" w:cs="宋体"/>
          <w:b/>
          <w:bCs/>
          <w:sz w:val="24"/>
          <w:szCs w:val="24"/>
        </w:rPr>
        <w:t>采购代理机构名称、地址、联系人和电话：</w:t>
      </w:r>
    </w:p>
    <w:p>
      <w:pPr>
        <w:pStyle w:val="12"/>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采购代理机构名称：</w:t>
      </w:r>
      <w:r>
        <w:rPr>
          <w:rFonts w:hint="eastAsia" w:ascii="宋体" w:hAnsi="宋体" w:eastAsia="宋体" w:cs="宋体"/>
          <w:sz w:val="24"/>
          <w:szCs w:val="24"/>
          <w:lang w:eastAsia="zh-CN"/>
        </w:rPr>
        <w:t>河南盛義和招标代理有限公司</w:t>
      </w:r>
    </w:p>
    <w:p>
      <w:pPr>
        <w:pStyle w:val="12"/>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地址：</w:t>
      </w:r>
      <w:r>
        <w:rPr>
          <w:rFonts w:hint="eastAsia" w:ascii="宋体" w:hAnsi="宋体" w:eastAsia="宋体" w:cs="宋体"/>
          <w:sz w:val="24"/>
          <w:szCs w:val="24"/>
          <w:lang w:eastAsia="zh-CN"/>
        </w:rPr>
        <w:t>中国（河南）自由贸易试验区洛阳片区高新区春城路15号宏矗科技大楼1510室</w:t>
      </w:r>
    </w:p>
    <w:p>
      <w:pPr>
        <w:pStyle w:val="12"/>
        <w:spacing w:line="500" w:lineRule="exact"/>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联系人和电话：</w:t>
      </w:r>
      <w:r>
        <w:rPr>
          <w:rFonts w:hint="eastAsia" w:ascii="宋体" w:hAnsi="宋体" w:eastAsia="宋体" w:cs="宋体"/>
          <w:sz w:val="24"/>
          <w:szCs w:val="24"/>
          <w:lang w:eastAsia="zh-CN"/>
        </w:rPr>
        <w:t>曹女士</w:t>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eastAsia="zh-CN"/>
        </w:rPr>
        <w:t>15729099390</w:t>
      </w:r>
    </w:p>
    <w:p>
      <w:pPr>
        <w:pStyle w:val="12"/>
        <w:spacing w:line="500" w:lineRule="exact"/>
        <w:ind w:firstLine="480" w:firstLineChars="200"/>
        <w:rPr>
          <w:rFonts w:hint="default" w:ascii="宋体" w:hAnsi="宋体" w:eastAsia="宋体" w:cs="宋体"/>
          <w:sz w:val="24"/>
          <w:szCs w:val="24"/>
          <w:lang w:val="en-US" w:eastAsia="zh-CN"/>
        </w:rPr>
        <w:sectPr>
          <w:pgSz w:w="11910" w:h="16840"/>
          <w:pgMar w:top="1440" w:right="1800" w:bottom="1440" w:left="1800" w:header="902" w:footer="991" w:gutter="0"/>
          <w:cols w:space="720" w:num="1"/>
        </w:sectPr>
      </w:pPr>
      <w:r>
        <w:rPr>
          <w:rFonts w:hint="eastAsia" w:ascii="宋体" w:hAnsi="宋体" w:eastAsia="宋体" w:cs="宋体"/>
          <w:sz w:val="24"/>
          <w:szCs w:val="24"/>
        </w:rPr>
        <w:t>邮</w:t>
      </w:r>
      <w:r>
        <w:rPr>
          <w:rFonts w:hint="eastAsia" w:ascii="宋体" w:hAnsi="宋体" w:eastAsia="宋体" w:cs="宋体"/>
          <w:sz w:val="24"/>
          <w:szCs w:val="24"/>
        </w:rPr>
        <w:tab/>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箱：</w:t>
      </w:r>
      <w:r>
        <w:rPr>
          <w:rFonts w:hint="eastAsia" w:ascii="宋体" w:hAnsi="宋体" w:eastAsia="宋体" w:cs="宋体"/>
          <w:sz w:val="24"/>
          <w:szCs w:val="24"/>
          <w:lang w:val="en-US" w:eastAsia="zh-CN"/>
        </w:rPr>
        <w:t>1347370200@qq.com</w:t>
      </w:r>
    </w:p>
    <w:p>
      <w:pPr>
        <w:pStyle w:val="3"/>
        <w:tabs>
          <w:tab w:val="left" w:pos="1123"/>
        </w:tabs>
        <w:ind w:right="275"/>
        <w:outlineLvl w:val="9"/>
        <w:rPr>
          <w:rFonts w:hint="eastAsia" w:ascii="宋体" w:hAnsi="宋体" w:eastAsia="宋体" w:cs="宋体"/>
          <w:sz w:val="32"/>
          <w:szCs w:val="32"/>
        </w:rPr>
      </w:pPr>
    </w:p>
    <w:p>
      <w:pPr>
        <w:pStyle w:val="3"/>
        <w:tabs>
          <w:tab w:val="left" w:pos="1123"/>
        </w:tabs>
        <w:ind w:right="275"/>
        <w:rPr>
          <w:rFonts w:hint="eastAsia" w:ascii="宋体" w:hAnsi="宋体" w:eastAsia="宋体" w:cs="宋体"/>
          <w:sz w:val="32"/>
          <w:szCs w:val="32"/>
        </w:rPr>
      </w:pPr>
      <w:bookmarkStart w:id="4" w:name="_Toc12882"/>
      <w:r>
        <w:rPr>
          <w:rFonts w:hint="eastAsia" w:ascii="宋体" w:hAnsi="宋体" w:eastAsia="宋体" w:cs="宋体"/>
          <w:sz w:val="32"/>
          <w:szCs w:val="32"/>
        </w:rPr>
        <w:t xml:space="preserve">第二章 </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供应商须知</w:t>
      </w:r>
      <w:bookmarkEnd w:id="4"/>
    </w:p>
    <w:p>
      <w:pPr>
        <w:pStyle w:val="12"/>
        <w:spacing w:before="202"/>
        <w:ind w:left="417" w:right="692"/>
        <w:jc w:val="center"/>
        <w:rPr>
          <w:rFonts w:asciiTheme="minorEastAsia" w:hAnsiTheme="minorEastAsia" w:eastAsiaTheme="minorEastAsia"/>
          <w:sz w:val="28"/>
          <w:szCs w:val="28"/>
        </w:rPr>
      </w:pPr>
      <w:commentRangeStart w:id="0"/>
      <w:r>
        <w:rPr>
          <w:rFonts w:hint="eastAsia" w:asciiTheme="minorEastAsia" w:hAnsiTheme="minorEastAsia" w:eastAsiaTheme="minorEastAsia"/>
          <w:sz w:val="28"/>
          <w:szCs w:val="28"/>
        </w:rPr>
        <w:t>供应商</w:t>
      </w:r>
      <w:r>
        <w:rPr>
          <w:rFonts w:asciiTheme="minorEastAsia" w:hAnsiTheme="minorEastAsia" w:eastAsiaTheme="minorEastAsia"/>
          <w:sz w:val="28"/>
          <w:szCs w:val="28"/>
        </w:rPr>
        <w:t>须知前附表</w:t>
      </w:r>
      <w:commentRangeEnd w:id="0"/>
      <w:r>
        <w:commentReference w:id="0"/>
      </w:r>
    </w:p>
    <w:tbl>
      <w:tblPr>
        <w:tblStyle w:val="21"/>
        <w:tblpPr w:leftFromText="180" w:rightFromText="180" w:vertAnchor="text" w:horzAnchor="page" w:tblpX="1482" w:tblpY="66"/>
        <w:tblOverlap w:val="never"/>
        <w:tblW w:w="921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2"/>
        <w:gridCol w:w="1761"/>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条款号</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条 款 名 称</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编 列 内 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1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1.1.2</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采购人</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采购人：洛阳市公路管理局洛界高速公路管理处</w:t>
            </w:r>
          </w:p>
          <w:p>
            <w:pPr>
              <w:spacing w:line="500" w:lineRule="exact"/>
              <w:rPr>
                <w:rFonts w:hint="eastAsia" w:ascii="宋体" w:hAnsi="宋体" w:eastAsia="宋体"/>
                <w:sz w:val="24"/>
                <w:szCs w:val="24"/>
                <w:lang w:eastAsia="zh-CN"/>
              </w:rPr>
            </w:pPr>
            <w:r>
              <w:rPr>
                <w:rFonts w:hint="eastAsia" w:ascii="宋体" w:hAnsi="宋体" w:eastAsia="宋体"/>
                <w:sz w:val="24"/>
                <w:szCs w:val="24"/>
              </w:rPr>
              <w:t xml:space="preserve">地  址: </w:t>
            </w:r>
            <w:r>
              <w:rPr>
                <w:rFonts w:hint="eastAsia" w:ascii="宋体" w:hAnsi="宋体" w:eastAsia="宋体"/>
                <w:sz w:val="24"/>
                <w:szCs w:val="24"/>
                <w:lang w:eastAsia="zh-CN"/>
              </w:rPr>
              <w:t>洛阳市瀍河区中州东路二广高速收费站</w:t>
            </w:r>
          </w:p>
          <w:p>
            <w:pPr>
              <w:spacing w:line="500" w:lineRule="exact"/>
              <w:rPr>
                <w:rFonts w:hint="eastAsia" w:ascii="宋体" w:hAnsi="宋体" w:eastAsia="宋体"/>
                <w:sz w:val="24"/>
                <w:szCs w:val="24"/>
                <w:lang w:eastAsia="zh-CN"/>
              </w:rPr>
            </w:pPr>
            <w:r>
              <w:rPr>
                <w:rFonts w:hint="eastAsia" w:ascii="宋体" w:hAnsi="宋体" w:eastAsia="宋体"/>
                <w:sz w:val="24"/>
                <w:szCs w:val="24"/>
              </w:rPr>
              <w:t xml:space="preserve">联系人: </w:t>
            </w:r>
            <w:r>
              <w:rPr>
                <w:rFonts w:hint="eastAsia" w:ascii="宋体" w:hAnsi="宋体" w:eastAsia="宋体"/>
                <w:sz w:val="24"/>
                <w:szCs w:val="24"/>
                <w:lang w:eastAsia="zh-CN"/>
              </w:rPr>
              <w:t>阴先生</w:t>
            </w:r>
          </w:p>
          <w:p>
            <w:pPr>
              <w:spacing w:line="500" w:lineRule="exact"/>
              <w:rPr>
                <w:rFonts w:ascii="宋体" w:hAnsi="宋体" w:eastAsia="宋体"/>
                <w:sz w:val="24"/>
                <w:szCs w:val="24"/>
              </w:rPr>
            </w:pPr>
            <w:r>
              <w:rPr>
                <w:rFonts w:hint="eastAsia" w:ascii="宋体" w:hAnsi="宋体" w:eastAsia="宋体"/>
                <w:sz w:val="24"/>
                <w:szCs w:val="24"/>
              </w:rPr>
              <w:t>电  话: 0379-65822312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1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代理机构</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rPr>
              <w:t>采购代理机构</w:t>
            </w:r>
            <w:r>
              <w:rPr>
                <w:rFonts w:ascii="宋体" w:hAnsi="宋体" w:eastAsia="宋体"/>
                <w:sz w:val="24"/>
                <w:szCs w:val="24"/>
              </w:rPr>
              <w:t>：</w:t>
            </w:r>
            <w:r>
              <w:rPr>
                <w:rFonts w:hint="eastAsia" w:ascii="宋体" w:hAnsi="宋体" w:eastAsia="宋体"/>
                <w:sz w:val="24"/>
                <w:szCs w:val="24"/>
                <w:lang w:eastAsia="zh-CN"/>
              </w:rPr>
              <w:t>河南盛義和招标代理有限公司</w:t>
            </w:r>
          </w:p>
          <w:p>
            <w:pPr>
              <w:spacing w:line="500" w:lineRule="exact"/>
              <w:rPr>
                <w:rFonts w:hint="eastAsia" w:ascii="宋体" w:hAnsi="宋体" w:eastAsia="宋体"/>
                <w:sz w:val="24"/>
                <w:szCs w:val="24"/>
                <w:lang w:eastAsia="zh-CN"/>
              </w:rPr>
            </w:pPr>
            <w:r>
              <w:rPr>
                <w:rFonts w:ascii="宋体" w:hAnsi="宋体" w:eastAsia="宋体"/>
                <w:sz w:val="24"/>
                <w:szCs w:val="24"/>
              </w:rPr>
              <w:t>联系人：</w:t>
            </w:r>
            <w:r>
              <w:rPr>
                <w:rFonts w:hint="eastAsia" w:ascii="宋体" w:hAnsi="宋体" w:eastAsia="宋体"/>
                <w:sz w:val="24"/>
                <w:szCs w:val="24"/>
                <w:lang w:eastAsia="zh-CN"/>
              </w:rPr>
              <w:t>曹女士</w:t>
            </w:r>
          </w:p>
          <w:p>
            <w:pPr>
              <w:spacing w:line="500" w:lineRule="exact"/>
              <w:rPr>
                <w:rFonts w:hint="eastAsia" w:ascii="宋体" w:hAnsi="宋体" w:eastAsia="宋体"/>
                <w:sz w:val="24"/>
                <w:szCs w:val="24"/>
                <w:lang w:eastAsia="zh-CN"/>
              </w:rPr>
            </w:pPr>
            <w:r>
              <w:rPr>
                <w:rFonts w:ascii="宋体" w:hAnsi="宋体" w:eastAsia="宋体"/>
                <w:sz w:val="24"/>
                <w:szCs w:val="24"/>
              </w:rPr>
              <w:t>电话：</w:t>
            </w:r>
            <w:r>
              <w:rPr>
                <w:rFonts w:hint="eastAsia" w:ascii="宋体" w:hAnsi="宋体" w:eastAsia="宋体"/>
                <w:sz w:val="24"/>
                <w:szCs w:val="24"/>
                <w:lang w:eastAsia="zh-CN"/>
              </w:rPr>
              <w:t>15729099390</w:t>
            </w:r>
          </w:p>
          <w:p>
            <w:pPr>
              <w:spacing w:line="500" w:lineRule="exact"/>
              <w:rPr>
                <w:rFonts w:hint="eastAsia" w:ascii="宋体" w:hAnsi="宋体" w:eastAsia="宋体"/>
                <w:sz w:val="24"/>
                <w:szCs w:val="24"/>
                <w:lang w:eastAsia="zh-CN"/>
              </w:rPr>
            </w:pPr>
            <w:r>
              <w:rPr>
                <w:rFonts w:ascii="宋体" w:hAnsi="宋体" w:eastAsia="宋体"/>
                <w:sz w:val="24"/>
                <w:szCs w:val="24"/>
              </w:rPr>
              <w:t>地址：</w:t>
            </w:r>
            <w:r>
              <w:rPr>
                <w:rFonts w:hint="eastAsia" w:ascii="宋体" w:hAnsi="宋体" w:eastAsia="宋体"/>
                <w:sz w:val="24"/>
                <w:szCs w:val="24"/>
                <w:lang w:eastAsia="zh-CN"/>
              </w:rPr>
              <w:t>中国（河南）自由贸易试验区洛阳片区高新区春城路15号宏矗科技大楼1510室</w:t>
            </w:r>
          </w:p>
          <w:p>
            <w:pPr>
              <w:spacing w:line="500" w:lineRule="exact"/>
              <w:rPr>
                <w:rFonts w:hint="eastAsia" w:ascii="宋体" w:hAnsi="宋体" w:eastAsia="宋体"/>
                <w:sz w:val="24"/>
                <w:szCs w:val="24"/>
                <w:lang w:eastAsia="zh-CN"/>
              </w:rPr>
            </w:pPr>
            <w:r>
              <w:rPr>
                <w:rFonts w:ascii="宋体" w:hAnsi="宋体" w:eastAsia="宋体"/>
                <w:sz w:val="24"/>
                <w:szCs w:val="24"/>
              </w:rPr>
              <w:t>邮箱：</w:t>
            </w:r>
            <w:r>
              <w:rPr>
                <w:rFonts w:hint="eastAsia" w:ascii="宋体" w:hAnsi="宋体" w:eastAsia="宋体"/>
                <w:sz w:val="24"/>
                <w:szCs w:val="24"/>
                <w:lang w:eastAsia="zh-CN"/>
              </w:rPr>
              <w:t>1347370200@qq.com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1.1.4</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项目名称</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lang w:eastAsia="zh-CN"/>
              </w:rPr>
              <w:t>洛界高速公路养护专项（2021-2022年度）工程监理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8" w:hRule="atLeast"/>
        </w:trPr>
        <w:tc>
          <w:tcPr>
            <w:tcW w:w="922"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1.1.5</w:t>
            </w:r>
          </w:p>
        </w:tc>
        <w:tc>
          <w:tcPr>
            <w:tcW w:w="1761" w:type="dxa"/>
            <w:vAlign w:val="center"/>
          </w:tcPr>
          <w:p>
            <w:pPr>
              <w:spacing w:line="276" w:lineRule="auto"/>
              <w:jc w:val="center"/>
              <w:rPr>
                <w:rFonts w:ascii="宋体" w:hAnsi="宋体" w:eastAsia="宋体"/>
                <w:sz w:val="24"/>
                <w:szCs w:val="24"/>
              </w:rPr>
            </w:pPr>
            <w:r>
              <w:rPr>
                <w:rFonts w:hint="eastAsia" w:ascii="宋体" w:hAnsi="宋体" w:eastAsia="宋体"/>
                <w:sz w:val="24"/>
                <w:szCs w:val="24"/>
              </w:rPr>
              <w:t>落实政府采购政策要求</w:t>
            </w:r>
          </w:p>
        </w:tc>
        <w:tc>
          <w:tcPr>
            <w:tcW w:w="6527" w:type="dxa"/>
            <w:vAlign w:val="center"/>
          </w:tcPr>
          <w:p>
            <w:pPr>
              <w:spacing w:line="276" w:lineRule="auto"/>
              <w:rPr>
                <w:rFonts w:ascii="宋体" w:hAnsi="宋体" w:eastAsia="宋体"/>
                <w:sz w:val="24"/>
                <w:szCs w:val="24"/>
              </w:rPr>
            </w:pPr>
            <w:r>
              <w:rPr>
                <w:rFonts w:hint="eastAsia" w:ascii="宋体" w:hAnsi="宋体" w:eastAsia="MS Mincho" w:cs="MS Mincho"/>
                <w:sz w:val="24"/>
                <w:szCs w:val="24"/>
              </w:rPr>
              <w:t>☑</w:t>
            </w:r>
            <w:r>
              <w:rPr>
                <w:rFonts w:hint="eastAsia" w:ascii="宋体" w:hAnsi="宋体" w:eastAsia="MS Mincho" w:cs="MS Mincho"/>
                <w:sz w:val="24"/>
                <w:szCs w:val="24"/>
                <w:lang w:val="en-US"/>
              </w:rPr>
              <w:t>面向中小微（监狱、残疾人福利性单位）企业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7"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1.2.1</w:t>
            </w:r>
          </w:p>
        </w:tc>
        <w:tc>
          <w:tcPr>
            <w:tcW w:w="1761" w:type="dxa"/>
            <w:vAlign w:val="center"/>
          </w:tcPr>
          <w:p>
            <w:pPr>
              <w:spacing w:line="500" w:lineRule="exact"/>
              <w:jc w:val="center"/>
              <w:rPr>
                <w:rFonts w:hint="eastAsia" w:ascii="宋体" w:hAnsi="宋体" w:eastAsia="宋体"/>
                <w:sz w:val="24"/>
                <w:szCs w:val="24"/>
                <w:lang w:eastAsia="zh-CN"/>
              </w:rPr>
            </w:pPr>
            <w:r>
              <w:rPr>
                <w:rFonts w:hint="eastAsia" w:ascii="宋体" w:hAnsi="宋体" w:eastAsia="宋体"/>
                <w:sz w:val="24"/>
                <w:szCs w:val="24"/>
                <w:lang w:eastAsia="zh-CN"/>
              </w:rPr>
              <w:t>招标控制价</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lang w:eastAsia="zh-CN"/>
              </w:rPr>
              <w:t>监理控制价为：</w:t>
            </w:r>
            <w:r>
              <w:rPr>
                <w:rFonts w:hint="eastAsia" w:ascii="宋体" w:hAnsi="宋体" w:eastAsia="宋体"/>
                <w:sz w:val="24"/>
                <w:szCs w:val="24"/>
                <w:lang w:val="en-US" w:eastAsia="zh-CN"/>
              </w:rPr>
              <w:t>35.83万元，费率为2.61%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1.2.2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资金落实情况</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招标范围</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本标段工程施工阶段、保修阶段及缺陷责任期阶段的全过程监理工作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9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1.3.2</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服务期</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lang w:eastAsia="zh-CN"/>
              </w:rPr>
              <w:t>施工工期24个月及缺陷责任服务期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9"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质量标准</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符合国家质量验收备案的合格标准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9" w:hRule="atLeast"/>
        </w:trPr>
        <w:tc>
          <w:tcPr>
            <w:tcW w:w="922" w:type="dxa"/>
            <w:vAlign w:val="center"/>
          </w:tcPr>
          <w:p>
            <w:pPr>
              <w:spacing w:line="500" w:lineRule="exact"/>
              <w:jc w:val="center"/>
              <w:rPr>
                <w:rFonts w:ascii="宋体" w:hAnsi="宋体" w:eastAsia="宋体"/>
                <w:sz w:val="24"/>
                <w:szCs w:val="24"/>
              </w:rPr>
            </w:pPr>
            <w:commentRangeStart w:id="1"/>
            <w:r>
              <w:rPr>
                <w:rFonts w:hint="eastAsia" w:ascii="宋体" w:hAnsi="宋体" w:eastAsia="宋体"/>
                <w:sz w:val="24"/>
                <w:szCs w:val="24"/>
              </w:rPr>
              <w:t>1.3.4</w:t>
            </w:r>
          </w:p>
        </w:tc>
        <w:tc>
          <w:tcPr>
            <w:tcW w:w="1761" w:type="dxa"/>
            <w:vAlign w:val="center"/>
          </w:tcPr>
          <w:p>
            <w:pPr>
              <w:spacing w:line="276" w:lineRule="auto"/>
              <w:jc w:val="center"/>
              <w:rPr>
                <w:rFonts w:ascii="宋体" w:hAnsi="宋体" w:eastAsia="宋体"/>
                <w:sz w:val="24"/>
                <w:szCs w:val="24"/>
              </w:rPr>
            </w:pPr>
            <w:r>
              <w:rPr>
                <w:rFonts w:hint="eastAsia" w:ascii="宋体" w:hAnsi="宋体" w:eastAsia="宋体"/>
                <w:bCs/>
                <w:sz w:val="24"/>
                <w:szCs w:val="24"/>
              </w:rPr>
              <w:t>安全目标</w:t>
            </w:r>
          </w:p>
        </w:tc>
        <w:tc>
          <w:tcPr>
            <w:tcW w:w="6527" w:type="dxa"/>
            <w:vAlign w:val="center"/>
          </w:tcPr>
          <w:p>
            <w:pPr>
              <w:spacing w:line="276" w:lineRule="auto"/>
              <w:outlineLvl w:val="0"/>
              <w:rPr>
                <w:rFonts w:hint="eastAsia" w:ascii="宋体" w:hAnsi="宋体" w:eastAsia="宋体"/>
                <w:sz w:val="24"/>
                <w:szCs w:val="24"/>
                <w:lang w:eastAsia="zh-CN"/>
              </w:rPr>
            </w:pPr>
            <w:r>
              <w:rPr>
                <w:rFonts w:hint="eastAsia" w:ascii="宋体" w:hAnsi="宋体" w:eastAsia="宋体" w:cs="宋体"/>
                <w:sz w:val="24"/>
                <w:szCs w:val="24"/>
              </w:rPr>
              <w:t>杜绝重伤、死亡事故；</w:t>
            </w:r>
            <w:commentRangeEnd w:id="1"/>
            <w:r>
              <w:commentReference w:id="1"/>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1.3.</w:t>
            </w:r>
            <w:r>
              <w:rPr>
                <w:rFonts w:hint="eastAsia" w:ascii="宋体" w:hAnsi="宋体" w:eastAsia="宋体"/>
                <w:sz w:val="24"/>
                <w:szCs w:val="24"/>
              </w:rPr>
              <w:t>5</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工程概况</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lang w:val="en-US" w:eastAsia="zh-CN"/>
              </w:rPr>
              <w:t xml:space="preserve">洛界高速公路位于洛阳市境内主线全长50.192公里，为二广 </w:t>
            </w:r>
          </w:p>
          <w:p>
            <w:pPr>
              <w:spacing w:line="500" w:lineRule="exact"/>
              <w:rPr>
                <w:rFonts w:ascii="宋体" w:hAnsi="宋体" w:eastAsia="宋体"/>
                <w:sz w:val="24"/>
                <w:szCs w:val="24"/>
              </w:rPr>
            </w:pPr>
            <w:r>
              <w:rPr>
                <w:rFonts w:hint="eastAsia" w:ascii="宋体" w:hAnsi="宋体" w:eastAsia="宋体"/>
                <w:sz w:val="24"/>
                <w:szCs w:val="24"/>
                <w:lang w:val="en-US" w:eastAsia="zh-CN"/>
              </w:rPr>
              <w:t>（G55）、宁洛(G36)共用路段。洛界高速公路养护专项工程为维护修复的养护施 工，包括局部路面病害养护施工处治及道路、交安设施的复原，旨在恢复路面通行能力和修复因自然灾害或交通事故等自然、人为因素造成道路、交安设施的损坏。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trPr>
        <w:tc>
          <w:tcPr>
            <w:tcW w:w="922"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资质条件</w:t>
            </w:r>
          </w:p>
        </w:tc>
        <w:tc>
          <w:tcPr>
            <w:tcW w:w="6527" w:type="dxa"/>
            <w:vAlign w:val="center"/>
          </w:tcPr>
          <w:p>
            <w:pPr>
              <w:spacing w:line="500" w:lineRule="exact"/>
              <w:ind w:right="249" w:rightChars="113" w:firstLine="480" w:firstLineChars="200"/>
              <w:rPr>
                <w:rFonts w:ascii="宋体" w:hAnsi="宋体" w:eastAsia="宋体" w:cs="宋体"/>
                <w:sz w:val="24"/>
                <w:szCs w:val="24"/>
                <w:lang w:val="en-US"/>
              </w:rPr>
            </w:pPr>
            <w:r>
              <w:rPr>
                <w:rFonts w:hint="eastAsia" w:ascii="宋体" w:hAnsi="宋体" w:eastAsia="宋体" w:cs="宋体"/>
                <w:sz w:val="24"/>
                <w:szCs w:val="24"/>
                <w:lang w:val="en-US"/>
              </w:rPr>
              <w:t>合格供应商除符合《政府采购法》第22条外，还必须符合下列条件</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供应商须具备交通运输主管部门颁发的公路工程</w:t>
            </w:r>
            <w:r>
              <w:rPr>
                <w:rFonts w:hint="eastAsia" w:ascii="宋体" w:hAnsi="宋体" w:eastAsia="宋体" w:cs="宋体"/>
                <w:sz w:val="24"/>
                <w:szCs w:val="24"/>
                <w:highlight w:val="none"/>
                <w:lang w:val="en-US"/>
              </w:rPr>
              <w:t>专业</w:t>
            </w:r>
            <w:r>
              <w:rPr>
                <w:rFonts w:hint="eastAsia" w:ascii="宋体" w:hAnsi="宋体" w:eastAsia="宋体" w:cs="宋体"/>
                <w:sz w:val="24"/>
                <w:szCs w:val="24"/>
                <w:highlight w:val="none"/>
                <w:lang w:val="en-US" w:eastAsia="zh-CN"/>
              </w:rPr>
              <w:t>甲级监理资质</w:t>
            </w:r>
            <w:r>
              <w:rPr>
                <w:rFonts w:hint="eastAsia" w:ascii="宋体" w:hAnsi="宋体" w:eastAsia="宋体" w:cs="宋体"/>
                <w:sz w:val="24"/>
                <w:szCs w:val="24"/>
                <w:lang w:val="en-US" w:eastAsia="zh-CN"/>
              </w:rPr>
              <w:t>；</w:t>
            </w:r>
            <w:r>
              <w:rPr>
                <w:rFonts w:hint="eastAsia" w:ascii="宋体" w:hAnsi="宋体" w:eastAsia="宋体" w:cs="宋体"/>
                <w:sz w:val="24"/>
                <w:szCs w:val="24"/>
                <w:lang w:val="en-US"/>
              </w:rPr>
              <w:t>且信誉良好，并在人员、设备、资金等方面具备相应的能力；</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拟派项目总监须具有公路工程监理工程师资格，中级（含）及以上技术职称，须提供劳动合同及</w:t>
            </w:r>
            <w:r>
              <w:rPr>
                <w:rFonts w:hint="eastAsia" w:ascii="宋体" w:hAnsi="宋体" w:eastAsia="宋体" w:cs="宋体"/>
                <w:sz w:val="24"/>
                <w:szCs w:val="24"/>
                <w:lang w:val="en-US" w:eastAsia="zh-CN"/>
              </w:rPr>
              <w:t>2020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月以来至今连续缴纳半年的社保证明（社保证明指由社保部门出具的在本单位缴纳社保的明细或在社保部门官方网站下载的带有社保机构印章的证明材料）</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供应商近五年（201</w:t>
            </w:r>
            <w:r>
              <w:rPr>
                <w:rFonts w:hint="eastAsia" w:ascii="宋体" w:hAnsi="宋体" w:eastAsia="宋体" w:cs="宋体"/>
                <w:sz w:val="24"/>
                <w:szCs w:val="24"/>
                <w:lang w:val="en-US" w:eastAsia="zh-CN"/>
              </w:rPr>
              <w:t>6</w:t>
            </w:r>
            <w:r>
              <w:rPr>
                <w:rFonts w:hint="eastAsia" w:ascii="宋体" w:hAnsi="宋体" w:eastAsia="宋体" w:cs="宋体"/>
                <w:sz w:val="24"/>
                <w:szCs w:val="24"/>
                <w:lang w:val="en-US"/>
              </w:rPr>
              <w:t>年1月以来）独立承担不少于1条高速公路养护工程的类似监理业务。</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财务要求：供应商应具有良好的财务状况,没有处于财产被接管、冻结、破产或其他不良状态，无重大不良资产或不良投资项目。须提供连续三年（2018年、2019年</w:t>
            </w:r>
            <w:r>
              <w:rPr>
                <w:rFonts w:hint="eastAsia" w:ascii="宋体" w:hAnsi="宋体" w:eastAsia="宋体" w:cs="宋体"/>
                <w:sz w:val="24"/>
                <w:szCs w:val="24"/>
                <w:lang w:val="en-US" w:eastAsia="zh-CN"/>
              </w:rPr>
              <w:t>、2020年</w:t>
            </w:r>
            <w:r>
              <w:rPr>
                <w:rFonts w:hint="eastAsia" w:ascii="宋体" w:hAnsi="宋体" w:eastAsia="宋体" w:cs="宋体"/>
                <w:sz w:val="24"/>
                <w:szCs w:val="24"/>
                <w:lang w:val="en-US"/>
              </w:rPr>
              <w:t>度）经会计事务所或审计机构审计的财务审会计报表，供应商成立不满三年的提供成立以来的财务状况表；</w:t>
            </w:r>
          </w:p>
          <w:p>
            <w:pPr>
              <w:numPr>
                <w:ilvl w:val="0"/>
                <w:numId w:val="4"/>
              </w:numPr>
              <w:spacing w:line="500" w:lineRule="exact"/>
              <w:ind w:left="0" w:leftChars="0" w:right="249" w:rightChars="113" w:firstLine="480" w:firstLineChars="200"/>
              <w:jc w:val="both"/>
              <w:rPr>
                <w:rFonts w:ascii="宋体" w:hAnsi="宋体" w:eastAsia="宋体" w:cs="宋体"/>
                <w:sz w:val="24"/>
                <w:szCs w:val="24"/>
                <w:lang w:val="en-US"/>
              </w:rPr>
            </w:pPr>
            <w:r>
              <w:rPr>
                <w:rFonts w:hint="eastAsia" w:ascii="宋体" w:hAnsi="宋体" w:eastAsia="宋体" w:cs="宋体"/>
                <w:sz w:val="24"/>
                <w:szCs w:val="24"/>
                <w:lang w:val="en-US"/>
              </w:rPr>
              <w:t>纳税及社保要求：供应商须提供20</w:t>
            </w:r>
            <w:r>
              <w:rPr>
                <w:rFonts w:hint="eastAsia" w:ascii="宋体" w:hAnsi="宋体" w:eastAsia="宋体" w:cs="宋体"/>
                <w:sz w:val="24"/>
                <w:szCs w:val="24"/>
                <w:lang w:val="en-US" w:eastAsia="zh-CN"/>
              </w:rPr>
              <w:t>20</w:t>
            </w:r>
            <w:r>
              <w:rPr>
                <w:rFonts w:hint="eastAsia" w:ascii="宋体" w:hAnsi="宋体" w:eastAsia="宋体" w:cs="宋体"/>
                <w:sz w:val="24"/>
                <w:szCs w:val="24"/>
                <w:lang w:val="en-US"/>
              </w:rPr>
              <w:t>年</w:t>
            </w:r>
            <w:r>
              <w:rPr>
                <w:rFonts w:hint="eastAsia" w:ascii="宋体" w:hAnsi="宋体" w:eastAsia="宋体" w:cs="宋体"/>
                <w:sz w:val="24"/>
                <w:szCs w:val="24"/>
                <w:lang w:val="en-US" w:eastAsia="zh-CN"/>
              </w:rPr>
              <w:t>7</w:t>
            </w:r>
            <w:r>
              <w:rPr>
                <w:rFonts w:hint="eastAsia" w:ascii="宋体" w:hAnsi="宋体" w:eastAsia="宋体" w:cs="宋体"/>
                <w:sz w:val="24"/>
                <w:szCs w:val="24"/>
                <w:lang w:val="en-US"/>
              </w:rPr>
              <w:t>月至今任意连续6个月份依法缴纳税收和社会保障资金的证明资料扫描件：缴纳增值税或企业所得税的凭据；缴纳社会保险的凭据（专用收据或社会保险缴纳清单）。依法免税或不需要缴纳社会保障资金的供应商，应提供相应文件证明其依法免税或不需要缴纳社会保障资金；</w:t>
            </w:r>
          </w:p>
          <w:p>
            <w:pPr>
              <w:numPr>
                <w:ilvl w:val="0"/>
                <w:numId w:val="4"/>
              </w:numPr>
              <w:spacing w:line="500" w:lineRule="exact"/>
              <w:ind w:left="0" w:leftChars="0" w:right="249" w:rightChars="113" w:firstLine="480" w:firstLineChars="200"/>
              <w:jc w:val="both"/>
              <w:rPr>
                <w:rFonts w:ascii="宋体" w:hAnsi="宋体" w:eastAsia="宋体" w:cs="宋体"/>
                <w:sz w:val="24"/>
                <w:szCs w:val="24"/>
              </w:rPr>
            </w:pPr>
            <w:r>
              <w:rPr>
                <w:rFonts w:hint="eastAsia" w:ascii="宋体" w:hAnsi="宋体" w:eastAsia="宋体" w:cs="宋体"/>
                <w:sz w:val="24"/>
                <w:szCs w:val="24"/>
                <w:lang w:val="en-US"/>
              </w:rPr>
              <w:t>信誉要求：根据《财政部关于在政府采购活动中查询及使用信用记录有关问题的通知》（财库〔2016〕125 号）和《河南省财政厅关于转发财政部关于在政府采购活动中查询及使用信用记录有关问题的通知》（财库〔2016〕15号）被列入中国政府采购网(www.ccgp.gov.cn)“政府采购严重违法失信行为记录名单”的（指政府采购行政处罚有效期内），被列入中国执行信息公开网（http://zxgk.court.gov.cn/，也即全国法院失信被执行人名单信息公布与查询网）“失信被执行人”的、被列入国家税务总局网站（www.chinatax.gov.cn/）——重大案件查询栏目“重大税收违法案件”的供应商将被拒绝参加投标。供应商必须将本公司在上述三个网站相关栏目的信用记录截图截图附在投标文件中（查询日期为公告发出之后）</w:t>
            </w:r>
          </w:p>
          <w:p>
            <w:pPr>
              <w:numPr>
                <w:ilvl w:val="0"/>
                <w:numId w:val="4"/>
              </w:numPr>
              <w:spacing w:line="500" w:lineRule="exact"/>
              <w:ind w:left="0" w:leftChars="0" w:firstLine="480" w:firstLineChars="200"/>
              <w:rPr>
                <w:rFonts w:ascii="宋体" w:hAnsi="宋体" w:eastAsia="宋体"/>
                <w:sz w:val="24"/>
                <w:szCs w:val="24"/>
              </w:rPr>
            </w:pPr>
            <w:r>
              <w:rPr>
                <w:rFonts w:hint="eastAsia" w:ascii="宋体" w:hAnsi="宋体" w:eastAsia="宋体" w:cs="宋体"/>
                <w:sz w:val="24"/>
                <w:szCs w:val="24"/>
              </w:rPr>
              <w:t>本次采购实行资格后审；本项目不接受联合体投标</w:t>
            </w:r>
            <w:r>
              <w:rPr>
                <w:rFonts w:hint="eastAsia" w:ascii="宋体" w:hAnsi="宋体" w:eastAsia="宋体"/>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1.4.2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是否接受联合体投标</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9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1.9.1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踏勘现场</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1.10.1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投标预备会</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8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分包</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1.12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偏离</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不允许重大偏离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30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构成</w:t>
            </w:r>
            <w:r>
              <w:rPr>
                <w:rFonts w:hint="eastAsia" w:ascii="宋体" w:hAnsi="宋体" w:eastAsia="宋体"/>
                <w:sz w:val="24"/>
                <w:szCs w:val="24"/>
              </w:rPr>
              <w:t>磋商</w:t>
            </w:r>
            <w:r>
              <w:rPr>
                <w:rFonts w:ascii="宋体" w:hAnsi="宋体" w:eastAsia="宋体"/>
                <w:sz w:val="24"/>
                <w:szCs w:val="24"/>
              </w:rPr>
              <w:t>文件的其他材料</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文件补充文件、澄清、修改、答疑、图纸。</w:t>
            </w:r>
          </w:p>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文件的澄清、修改或补充文件的内容均以书面形式明确的内容为准。</w:t>
            </w:r>
          </w:p>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文件的澄清、修改或补充文件在解释顺序方面优先于该类文件之前的文件。当</w:t>
            </w:r>
            <w:r>
              <w:rPr>
                <w:rFonts w:hint="eastAsia" w:ascii="宋体" w:hAnsi="宋体" w:eastAsia="宋体"/>
                <w:sz w:val="24"/>
                <w:szCs w:val="24"/>
              </w:rPr>
              <w:t>磋商</w:t>
            </w:r>
            <w:r>
              <w:rPr>
                <w:rFonts w:ascii="宋体" w:hAnsi="宋体" w:eastAsia="宋体"/>
                <w:sz w:val="24"/>
                <w:szCs w:val="24"/>
              </w:rPr>
              <w:t>文件及其澄清、修改或</w:t>
            </w:r>
          </w:p>
          <w:p>
            <w:pPr>
              <w:spacing w:line="500" w:lineRule="exact"/>
              <w:rPr>
                <w:rFonts w:ascii="宋体" w:hAnsi="宋体" w:eastAsia="宋体"/>
                <w:sz w:val="24"/>
                <w:szCs w:val="24"/>
              </w:rPr>
            </w:pPr>
            <w:r>
              <w:rPr>
                <w:rFonts w:ascii="宋体" w:hAnsi="宋体" w:eastAsia="宋体"/>
                <w:sz w:val="24"/>
                <w:szCs w:val="24"/>
              </w:rPr>
              <w:t>补充文件对同一内容表述不一致时，以最后发出的书面</w:t>
            </w:r>
            <w:r>
              <w:rPr>
                <w:rFonts w:hint="eastAsia" w:ascii="宋体" w:hAnsi="宋体" w:eastAsia="宋体"/>
                <w:sz w:val="24"/>
                <w:szCs w:val="24"/>
              </w:rPr>
              <w:t>文件为准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2.2.1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答疑</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 xml:space="preserve">响应文件递交截止时间 </w:t>
            </w:r>
            <w:r>
              <w:rPr>
                <w:rFonts w:hint="eastAsia" w:ascii="宋体" w:hAnsi="宋体" w:eastAsia="宋体"/>
                <w:sz w:val="24"/>
                <w:szCs w:val="24"/>
                <w:lang w:val="en-US" w:eastAsia="zh-CN"/>
              </w:rPr>
              <w:t>5</w:t>
            </w:r>
            <w:r>
              <w:rPr>
                <w:rFonts w:ascii="宋体" w:hAnsi="宋体" w:eastAsia="宋体"/>
                <w:sz w:val="24"/>
                <w:szCs w:val="24"/>
              </w:rPr>
              <w:t xml:space="preserve"> 个工作日前以书面形式进行答疑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9"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2.2.2</w:t>
            </w:r>
          </w:p>
        </w:tc>
        <w:tc>
          <w:tcPr>
            <w:tcW w:w="1761" w:type="dxa"/>
            <w:vAlign w:val="center"/>
          </w:tcPr>
          <w:p>
            <w:pPr>
              <w:spacing w:line="500" w:lineRule="exact"/>
              <w:jc w:val="center"/>
              <w:rPr>
                <w:rFonts w:ascii="宋体" w:hAnsi="宋体" w:eastAsia="宋体"/>
                <w:color w:val="auto"/>
                <w:sz w:val="24"/>
                <w:szCs w:val="24"/>
              </w:rPr>
            </w:pPr>
            <w:r>
              <w:rPr>
                <w:rFonts w:ascii="宋体" w:hAnsi="宋体" w:eastAsia="宋体"/>
                <w:color w:val="auto"/>
                <w:sz w:val="24"/>
                <w:szCs w:val="24"/>
              </w:rPr>
              <w:t>响应文件递交截止时间</w:t>
            </w:r>
          </w:p>
        </w:tc>
        <w:tc>
          <w:tcPr>
            <w:tcW w:w="6527" w:type="dxa"/>
            <w:vAlign w:val="center"/>
          </w:tcPr>
          <w:p>
            <w:pPr>
              <w:spacing w:line="500" w:lineRule="exact"/>
              <w:rPr>
                <w:rFonts w:hint="eastAsia" w:ascii="宋体" w:hAnsi="宋体" w:eastAsia="宋体"/>
                <w:color w:val="auto"/>
                <w:sz w:val="24"/>
                <w:szCs w:val="24"/>
                <w:lang w:eastAsia="zh-CN"/>
              </w:rPr>
            </w:pPr>
            <w:r>
              <w:rPr>
                <w:rFonts w:hint="eastAsia" w:ascii="宋体" w:hAnsi="宋体" w:eastAsia="宋体"/>
                <w:color w:val="auto"/>
                <w:sz w:val="24"/>
                <w:szCs w:val="24"/>
                <w:lang w:eastAsia="zh-CN"/>
              </w:rPr>
              <w:t>同公告截止时间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2"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2.2.3</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确认收到</w:t>
            </w:r>
            <w:r>
              <w:rPr>
                <w:rFonts w:hint="eastAsia" w:ascii="宋体" w:hAnsi="宋体" w:eastAsia="宋体"/>
                <w:sz w:val="24"/>
                <w:szCs w:val="24"/>
              </w:rPr>
              <w:t>磋商</w:t>
            </w:r>
            <w:r>
              <w:rPr>
                <w:rFonts w:ascii="宋体" w:hAnsi="宋体" w:eastAsia="宋体"/>
                <w:sz w:val="24"/>
                <w:szCs w:val="24"/>
              </w:rPr>
              <w:t>文件澄清的时间</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自</w:t>
            </w:r>
            <w:r>
              <w:rPr>
                <w:rFonts w:hint="eastAsia" w:ascii="宋体" w:hAnsi="宋体" w:eastAsia="宋体"/>
                <w:sz w:val="24"/>
                <w:szCs w:val="24"/>
              </w:rPr>
              <w:t>磋商</w:t>
            </w:r>
            <w:r>
              <w:rPr>
                <w:rFonts w:ascii="宋体" w:hAnsi="宋体" w:eastAsia="宋体"/>
                <w:sz w:val="24"/>
                <w:szCs w:val="24"/>
              </w:rPr>
              <w:t>文件澄清发出之日起 24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2.3.2</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确认收到</w:t>
            </w:r>
            <w:r>
              <w:rPr>
                <w:rFonts w:hint="eastAsia" w:ascii="宋体" w:hAnsi="宋体" w:eastAsia="宋体"/>
                <w:sz w:val="24"/>
                <w:szCs w:val="24"/>
              </w:rPr>
              <w:t>磋商</w:t>
            </w:r>
            <w:r>
              <w:rPr>
                <w:rFonts w:ascii="宋体" w:hAnsi="宋体" w:eastAsia="宋体"/>
                <w:sz w:val="24"/>
                <w:szCs w:val="24"/>
              </w:rPr>
              <w:t>文件修改的时间</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自</w:t>
            </w:r>
            <w:r>
              <w:rPr>
                <w:rFonts w:hint="eastAsia" w:ascii="宋体" w:hAnsi="宋体" w:eastAsia="宋体"/>
                <w:sz w:val="24"/>
                <w:szCs w:val="24"/>
              </w:rPr>
              <w:t>磋商</w:t>
            </w:r>
            <w:r>
              <w:rPr>
                <w:rFonts w:ascii="宋体" w:hAnsi="宋体" w:eastAsia="宋体"/>
                <w:sz w:val="24"/>
                <w:szCs w:val="24"/>
              </w:rPr>
              <w:t>文件修改发出之日起 24 小时内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0"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3.1.1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构成</w:t>
            </w:r>
            <w:r>
              <w:rPr>
                <w:rFonts w:hint="eastAsia" w:ascii="宋体" w:hAnsi="宋体" w:eastAsia="宋体"/>
                <w:sz w:val="24"/>
                <w:szCs w:val="24"/>
              </w:rPr>
              <w:t>磋商</w:t>
            </w:r>
            <w:r>
              <w:rPr>
                <w:rFonts w:ascii="宋体" w:hAnsi="宋体" w:eastAsia="宋体"/>
                <w:sz w:val="24"/>
                <w:szCs w:val="24"/>
              </w:rPr>
              <w:t>响应文件的其他材料</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3.3.1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有效期</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截止时间起</w:t>
            </w:r>
            <w:r>
              <w:rPr>
                <w:rFonts w:hint="eastAsia" w:ascii="宋体" w:hAnsi="宋体" w:eastAsia="宋体"/>
                <w:sz w:val="24"/>
                <w:szCs w:val="24"/>
                <w:lang w:val="en-US"/>
              </w:rPr>
              <w:t xml:space="preserve"> 90 </w:t>
            </w:r>
            <w:r>
              <w:rPr>
                <w:rFonts w:ascii="宋体" w:hAnsi="宋体" w:eastAsia="宋体"/>
                <w:sz w:val="24"/>
                <w:szCs w:val="24"/>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8"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3.4.1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保证金</w:t>
            </w:r>
          </w:p>
        </w:tc>
        <w:tc>
          <w:tcPr>
            <w:tcW w:w="6527" w:type="dxa"/>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rPr>
              <w:t>本项目无需缴纳</w:t>
            </w:r>
            <w:r>
              <w:rPr>
                <w:rFonts w:hint="eastAsia" w:ascii="宋体" w:hAnsi="宋体" w:eastAsia="宋体"/>
                <w:sz w:val="24"/>
                <w:szCs w:val="24"/>
                <w:lang w:eastAsia="zh-CN"/>
              </w:rPr>
              <w:t>磋商保证金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1"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3.6</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是否允许递交备选投标方案</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8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签字或盖章要求</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按照</w:t>
            </w:r>
            <w:r>
              <w:rPr>
                <w:rFonts w:hint="eastAsia" w:ascii="宋体" w:hAnsi="宋体" w:eastAsia="宋体"/>
                <w:sz w:val="24"/>
                <w:szCs w:val="24"/>
              </w:rPr>
              <w:t>磋商</w:t>
            </w:r>
            <w:r>
              <w:rPr>
                <w:rFonts w:ascii="宋体" w:hAnsi="宋体" w:eastAsia="宋体"/>
                <w:sz w:val="24"/>
                <w:szCs w:val="24"/>
              </w:rPr>
              <w:t>文件中提供的响应文件格式和要求签字、盖章。</w:t>
            </w:r>
          </w:p>
          <w:p>
            <w:pPr>
              <w:spacing w:line="500" w:lineRule="exact"/>
              <w:rPr>
                <w:rFonts w:ascii="宋体" w:hAnsi="宋体" w:eastAsia="宋体"/>
                <w:sz w:val="24"/>
                <w:szCs w:val="24"/>
              </w:rPr>
            </w:pPr>
            <w:r>
              <w:rPr>
                <w:rFonts w:ascii="宋体" w:hAnsi="宋体" w:eastAsia="宋体"/>
                <w:sz w:val="24"/>
                <w:szCs w:val="24"/>
              </w:rPr>
              <w:t>响应文件密封袋封口处应加盖单位公章。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2"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3.7.4</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响应文件份数</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正本壹份，副本肆份</w:t>
            </w:r>
            <w:r>
              <w:rPr>
                <w:rFonts w:hint="eastAsia" w:ascii="宋体" w:hAnsi="宋体" w:eastAsia="宋体"/>
                <w:sz w:val="24"/>
                <w:szCs w:val="24"/>
              </w:rPr>
              <w:t>（副本可以是正本的黑白复印件）</w:t>
            </w:r>
            <w:r>
              <w:rPr>
                <w:rFonts w:ascii="宋体" w:hAnsi="宋体" w:eastAsia="宋体"/>
                <w:sz w:val="24"/>
                <w:szCs w:val="24"/>
              </w:rPr>
              <w:t>、电子版壹份（u 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2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3.7.5</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装订要求</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（可采用A4 纸张正反面打印）胶装，响应文件正、副本</w:t>
            </w:r>
          </w:p>
          <w:p>
            <w:pPr>
              <w:spacing w:line="500" w:lineRule="exact"/>
              <w:rPr>
                <w:rFonts w:ascii="宋体" w:hAnsi="宋体" w:eastAsia="宋体"/>
                <w:sz w:val="24"/>
                <w:szCs w:val="24"/>
              </w:rPr>
            </w:pPr>
            <w:r>
              <w:rPr>
                <w:rFonts w:ascii="宋体" w:hAnsi="宋体" w:eastAsia="宋体"/>
                <w:sz w:val="24"/>
                <w:szCs w:val="24"/>
              </w:rPr>
              <w:t>分别装订成册，并编制目录，连续页码，不得采用活页夹等可随时拆换的方式装订。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3.7.6</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响应文件是否退还</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2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4.1.2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封套上写明</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正本/副本</w:t>
            </w:r>
          </w:p>
          <w:p>
            <w:pPr>
              <w:spacing w:line="500" w:lineRule="exact"/>
              <w:rPr>
                <w:rFonts w:ascii="宋体" w:hAnsi="宋体" w:eastAsia="宋体"/>
                <w:sz w:val="24"/>
                <w:szCs w:val="24"/>
              </w:rPr>
            </w:pPr>
            <w:r>
              <w:rPr>
                <w:rFonts w:hint="eastAsia" w:ascii="宋体" w:hAnsi="宋体" w:eastAsia="宋体"/>
                <w:sz w:val="24"/>
                <w:szCs w:val="24"/>
              </w:rPr>
              <w:t>采购人</w:t>
            </w:r>
            <w:r>
              <w:rPr>
                <w:rFonts w:ascii="宋体" w:hAnsi="宋体" w:eastAsia="宋体"/>
                <w:sz w:val="24"/>
                <w:szCs w:val="24"/>
              </w:rPr>
              <w:t>名</w:t>
            </w:r>
            <w:r>
              <w:rPr>
                <w:rFonts w:hint="eastAsia" w:ascii="宋体" w:hAnsi="宋体" w:eastAsia="宋体"/>
                <w:sz w:val="24"/>
                <w:szCs w:val="24"/>
              </w:rPr>
              <w:t>称：</w:t>
            </w:r>
          </w:p>
          <w:p>
            <w:pPr>
              <w:spacing w:line="500" w:lineRule="exact"/>
              <w:rPr>
                <w:rFonts w:ascii="宋体" w:hAnsi="宋体" w:eastAsia="宋体"/>
                <w:sz w:val="24"/>
                <w:szCs w:val="24"/>
              </w:rPr>
            </w:pPr>
            <w:r>
              <w:rPr>
                <w:rFonts w:hint="eastAsia" w:ascii="宋体" w:hAnsi="宋体" w:eastAsia="宋体"/>
                <w:sz w:val="24"/>
                <w:szCs w:val="24"/>
              </w:rPr>
              <w:t>供应商</w:t>
            </w:r>
            <w:r>
              <w:rPr>
                <w:rFonts w:ascii="宋体" w:hAnsi="宋体" w:eastAsia="宋体"/>
                <w:sz w:val="24"/>
                <w:szCs w:val="24"/>
              </w:rPr>
              <w:t>名称：</w:t>
            </w:r>
          </w:p>
          <w:p>
            <w:pPr>
              <w:spacing w:line="500" w:lineRule="exact"/>
              <w:rPr>
                <w:rFonts w:ascii="宋体" w:hAnsi="宋体" w:eastAsia="宋体"/>
                <w:sz w:val="24"/>
                <w:szCs w:val="24"/>
              </w:rPr>
            </w:pPr>
            <w:r>
              <w:rPr>
                <w:rFonts w:ascii="宋体" w:hAnsi="宋体" w:eastAsia="宋体"/>
                <w:sz w:val="24"/>
                <w:szCs w:val="24"/>
                <w:u w:val="single"/>
              </w:rPr>
              <w:t>（项目名称）</w:t>
            </w:r>
            <w:r>
              <w:rPr>
                <w:rFonts w:ascii="宋体" w:hAnsi="宋体" w:eastAsia="宋体"/>
                <w:sz w:val="24"/>
                <w:szCs w:val="24"/>
                <w:u w:val="single"/>
              </w:rPr>
              <w:tab/>
            </w:r>
            <w:r>
              <w:rPr>
                <w:rFonts w:ascii="宋体" w:hAnsi="宋体" w:eastAsia="宋体"/>
                <w:sz w:val="24"/>
                <w:szCs w:val="24"/>
              </w:rPr>
              <w:t>响应文件</w:t>
            </w:r>
          </w:p>
          <w:p>
            <w:pPr>
              <w:spacing w:line="500" w:lineRule="exact"/>
              <w:rPr>
                <w:rFonts w:ascii="宋体" w:hAnsi="宋体" w:eastAsia="宋体"/>
                <w:sz w:val="24"/>
                <w:szCs w:val="24"/>
              </w:rPr>
            </w:pPr>
            <w:r>
              <w:rPr>
                <w:rFonts w:ascii="宋体" w:hAnsi="宋体" w:eastAsia="宋体"/>
                <w:sz w:val="24"/>
                <w:szCs w:val="24"/>
              </w:rPr>
              <w:t xml:space="preserve">在  年  月  日 </w:t>
            </w:r>
            <w:r>
              <w:rPr>
                <w:rFonts w:ascii="宋体" w:hAnsi="宋体" w:eastAsia="宋体"/>
                <w:sz w:val="24"/>
                <w:szCs w:val="24"/>
              </w:rPr>
              <w:tab/>
            </w:r>
            <w:r>
              <w:rPr>
                <w:rFonts w:ascii="宋体" w:hAnsi="宋体" w:eastAsia="宋体"/>
                <w:sz w:val="24"/>
                <w:szCs w:val="24"/>
              </w:rPr>
              <w:t>时</w:t>
            </w:r>
            <w:r>
              <w:rPr>
                <w:rFonts w:hint="eastAsia" w:ascii="宋体" w:hAnsi="宋体" w:eastAsia="宋体"/>
                <w:sz w:val="24"/>
                <w:szCs w:val="24"/>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33"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4.2.2</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递交响应文件地点</w:t>
            </w:r>
          </w:p>
        </w:tc>
        <w:tc>
          <w:tcPr>
            <w:tcW w:w="6527" w:type="dxa"/>
            <w:vAlign w:val="center"/>
          </w:tcPr>
          <w:p>
            <w:pPr>
              <w:spacing w:line="500" w:lineRule="exact"/>
              <w:rPr>
                <w:rFonts w:hint="default" w:ascii="宋体" w:hAnsi="宋体" w:eastAsia="宋体"/>
                <w:sz w:val="24"/>
                <w:szCs w:val="24"/>
                <w:lang w:val="en-US" w:eastAsia="zh-CN"/>
              </w:rPr>
            </w:pPr>
            <w:r>
              <w:rPr>
                <w:rFonts w:hint="eastAsia" w:ascii="宋体" w:hAnsi="宋体" w:eastAsia="宋体"/>
                <w:sz w:val="24"/>
                <w:szCs w:val="24"/>
                <w:lang w:eastAsia="zh-CN"/>
              </w:rPr>
              <w:t>中国（河南）自由贸易试验区洛阳片区高新区春城路15号宏矗科技大楼1510室</w:t>
            </w:r>
            <w:r>
              <w:rPr>
                <w:rFonts w:hint="eastAsia" w:ascii="宋体" w:hAnsi="宋体" w:eastAsia="宋体"/>
                <w:sz w:val="24"/>
                <w:szCs w:val="24"/>
                <w:lang w:val="en-US" w:eastAsia="zh-CN"/>
              </w:rPr>
              <w:t>开标室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84"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4.2.3</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是否退还</w:t>
            </w:r>
            <w:r>
              <w:rPr>
                <w:rFonts w:hint="eastAsia" w:ascii="宋体" w:hAnsi="宋体" w:eastAsia="宋体"/>
                <w:sz w:val="24"/>
                <w:szCs w:val="24"/>
              </w:rPr>
              <w:t>磋商</w:t>
            </w:r>
            <w:r>
              <w:rPr>
                <w:rFonts w:ascii="宋体" w:hAnsi="宋体" w:eastAsia="宋体"/>
                <w:sz w:val="24"/>
                <w:szCs w:val="24"/>
              </w:rPr>
              <w:t>响应文件</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95"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6.1.1</w:t>
            </w:r>
          </w:p>
        </w:tc>
        <w:tc>
          <w:tcPr>
            <w:tcW w:w="1761" w:type="dxa"/>
            <w:vAlign w:val="center"/>
          </w:tcPr>
          <w:p>
            <w:pPr>
              <w:spacing w:line="500" w:lineRule="exact"/>
              <w:jc w:val="center"/>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小组的组建</w:t>
            </w:r>
          </w:p>
        </w:tc>
        <w:tc>
          <w:tcPr>
            <w:tcW w:w="6527" w:type="dxa"/>
            <w:vAlign w:val="center"/>
          </w:tcPr>
          <w:p>
            <w:pPr>
              <w:spacing w:line="500" w:lineRule="exact"/>
              <w:rPr>
                <w:rFonts w:ascii="宋体" w:hAnsi="宋体" w:eastAsia="宋体"/>
                <w:sz w:val="24"/>
                <w:szCs w:val="24"/>
              </w:rPr>
            </w:pPr>
            <w:r>
              <w:rPr>
                <w:rFonts w:hint="eastAsia" w:ascii="宋体" w:hAnsi="宋体" w:eastAsia="宋体"/>
                <w:sz w:val="24"/>
                <w:szCs w:val="24"/>
              </w:rPr>
              <w:t>磋商</w:t>
            </w:r>
            <w:r>
              <w:rPr>
                <w:rFonts w:ascii="宋体" w:hAnsi="宋体" w:eastAsia="宋体"/>
                <w:sz w:val="24"/>
                <w:szCs w:val="24"/>
              </w:rPr>
              <w:t>小组成员构成：3 人，其中</w:t>
            </w:r>
            <w:r>
              <w:rPr>
                <w:rFonts w:hint="eastAsia" w:ascii="宋体" w:hAnsi="宋体" w:eastAsia="宋体"/>
                <w:sz w:val="24"/>
                <w:szCs w:val="24"/>
              </w:rPr>
              <w:t>采购人</w:t>
            </w:r>
            <w:r>
              <w:rPr>
                <w:rFonts w:ascii="宋体" w:hAnsi="宋体" w:eastAsia="宋体"/>
                <w:sz w:val="24"/>
                <w:szCs w:val="24"/>
              </w:rPr>
              <w:t>代表 1 人，专家 2 人；</w:t>
            </w:r>
            <w:r>
              <w:rPr>
                <w:rFonts w:hint="eastAsia" w:ascii="宋体" w:hAnsi="宋体" w:eastAsia="宋体"/>
                <w:sz w:val="24"/>
                <w:szCs w:val="24"/>
              </w:rPr>
              <w:t>磋商</w:t>
            </w:r>
            <w:r>
              <w:rPr>
                <w:rFonts w:ascii="宋体" w:hAnsi="宋体" w:eastAsia="宋体"/>
                <w:sz w:val="24"/>
                <w:szCs w:val="24"/>
              </w:rPr>
              <w:t>专家确定方式：从相关部门依法组建的专家库中随机抽取。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7.1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是否授权</w:t>
            </w:r>
            <w:r>
              <w:rPr>
                <w:rFonts w:hint="eastAsia" w:ascii="宋体" w:hAnsi="宋体" w:eastAsia="宋体"/>
                <w:sz w:val="24"/>
                <w:szCs w:val="24"/>
              </w:rPr>
              <w:t>磋商</w:t>
            </w:r>
            <w:r>
              <w:rPr>
                <w:rFonts w:ascii="宋体" w:hAnsi="宋体" w:eastAsia="宋体"/>
                <w:sz w:val="24"/>
                <w:szCs w:val="24"/>
              </w:rPr>
              <w:t>小组确定成交人</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 xml:space="preserve">否，推荐成交候选人 </w:t>
            </w:r>
            <w:r>
              <w:rPr>
                <w:rFonts w:hint="eastAsia" w:ascii="宋体" w:hAnsi="宋体" w:eastAsia="宋体"/>
                <w:sz w:val="24"/>
                <w:szCs w:val="24"/>
              </w:rPr>
              <w:t>2</w:t>
            </w:r>
            <w:r>
              <w:rPr>
                <w:rFonts w:ascii="宋体" w:hAnsi="宋体" w:eastAsia="宋体"/>
                <w:sz w:val="24"/>
                <w:szCs w:val="24"/>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8.1</w:t>
            </w:r>
          </w:p>
        </w:tc>
        <w:tc>
          <w:tcPr>
            <w:tcW w:w="1761" w:type="dxa"/>
            <w:vAlign w:val="center"/>
          </w:tcPr>
          <w:p>
            <w:pPr>
              <w:spacing w:line="500" w:lineRule="exact"/>
              <w:jc w:val="center"/>
              <w:rPr>
                <w:rFonts w:ascii="宋体" w:hAnsi="宋体" w:eastAsia="宋体"/>
                <w:sz w:val="24"/>
                <w:szCs w:val="24"/>
              </w:rPr>
            </w:pPr>
            <w:r>
              <w:rPr>
                <w:rFonts w:ascii="宋体" w:hAnsi="宋体" w:eastAsia="宋体"/>
                <w:sz w:val="24"/>
                <w:szCs w:val="24"/>
              </w:rPr>
              <w:t>报价要求</w:t>
            </w:r>
          </w:p>
        </w:tc>
        <w:tc>
          <w:tcPr>
            <w:tcW w:w="6527" w:type="dxa"/>
            <w:vAlign w:val="center"/>
          </w:tcPr>
          <w:p>
            <w:pPr>
              <w:spacing w:line="500" w:lineRule="exact"/>
              <w:rPr>
                <w:rFonts w:ascii="宋体" w:hAnsi="宋体" w:eastAsia="宋体"/>
                <w:sz w:val="24"/>
                <w:szCs w:val="24"/>
              </w:rPr>
            </w:pPr>
            <w:r>
              <w:rPr>
                <w:rFonts w:ascii="宋体" w:hAnsi="宋体" w:eastAsia="宋体"/>
                <w:sz w:val="24"/>
                <w:szCs w:val="24"/>
              </w:rPr>
              <w:t>本次</w:t>
            </w:r>
            <w:r>
              <w:rPr>
                <w:rFonts w:hint="eastAsia" w:ascii="宋体" w:hAnsi="宋体" w:eastAsia="宋体"/>
                <w:sz w:val="24"/>
                <w:szCs w:val="24"/>
                <w:lang w:eastAsia="zh-CN"/>
              </w:rPr>
              <w:t>磋商</w:t>
            </w:r>
            <w:r>
              <w:rPr>
                <w:rFonts w:ascii="宋体" w:hAnsi="宋体" w:eastAsia="宋体"/>
                <w:sz w:val="24"/>
                <w:szCs w:val="24"/>
              </w:rPr>
              <w:t>实行两轮报价，以最终报价为准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10</w:t>
            </w:r>
          </w:p>
        </w:tc>
        <w:tc>
          <w:tcPr>
            <w:tcW w:w="8288" w:type="dxa"/>
            <w:gridSpan w:val="2"/>
            <w:vAlign w:val="center"/>
          </w:tcPr>
          <w:p>
            <w:pPr>
              <w:spacing w:line="500" w:lineRule="exact"/>
              <w:rPr>
                <w:rFonts w:ascii="宋体" w:hAnsi="宋体" w:eastAsia="宋体"/>
                <w:sz w:val="24"/>
                <w:szCs w:val="24"/>
              </w:rPr>
            </w:pPr>
            <w:r>
              <w:rPr>
                <w:rFonts w:ascii="宋体" w:hAnsi="宋体" w:eastAsia="宋体"/>
                <w:sz w:val="24"/>
                <w:szCs w:val="24"/>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10.1</w:t>
            </w:r>
          </w:p>
        </w:tc>
        <w:tc>
          <w:tcPr>
            <w:tcW w:w="8288" w:type="dxa"/>
            <w:gridSpan w:val="2"/>
            <w:vAlign w:val="center"/>
          </w:tcPr>
          <w:p>
            <w:pPr>
              <w:spacing w:line="500" w:lineRule="exact"/>
              <w:rPr>
                <w:rFonts w:ascii="宋体" w:hAnsi="宋体" w:eastAsia="宋体"/>
                <w:sz w:val="24"/>
                <w:szCs w:val="24"/>
              </w:rPr>
            </w:pPr>
            <w:r>
              <w:rPr>
                <w:rFonts w:hint="eastAsia" w:ascii="宋体" w:hAnsi="宋体" w:eastAsia="宋体"/>
                <w:sz w:val="24"/>
                <w:szCs w:val="24"/>
                <w:lang w:eastAsia="zh-CN"/>
              </w:rPr>
              <w:t>本次招标代理服务费由成交人按照洛财购【2019】3号文标准支付，请各供应商充分考虑这一因素</w:t>
            </w:r>
            <w:r>
              <w:rPr>
                <w:rFonts w:ascii="宋体" w:hAnsi="宋体" w:eastAsia="宋体"/>
                <w:sz w:val="24"/>
                <w:szCs w:val="24"/>
              </w:rPr>
              <w:t>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ascii="宋体" w:hAnsi="宋体" w:eastAsia="宋体"/>
                <w:sz w:val="24"/>
                <w:szCs w:val="24"/>
              </w:rPr>
            </w:pPr>
            <w:r>
              <w:rPr>
                <w:rFonts w:ascii="宋体" w:hAnsi="宋体" w:eastAsia="宋体"/>
                <w:sz w:val="24"/>
                <w:szCs w:val="24"/>
              </w:rPr>
              <w:t>10.2</w:t>
            </w:r>
          </w:p>
        </w:tc>
        <w:tc>
          <w:tcPr>
            <w:tcW w:w="8288" w:type="dxa"/>
            <w:gridSpan w:val="2"/>
            <w:vAlign w:val="center"/>
          </w:tcPr>
          <w:p>
            <w:pPr>
              <w:spacing w:line="500" w:lineRule="exact"/>
              <w:rPr>
                <w:rFonts w:ascii="宋体" w:hAnsi="宋体" w:eastAsia="宋体"/>
                <w:sz w:val="24"/>
                <w:szCs w:val="24"/>
              </w:rPr>
            </w:pPr>
            <w:r>
              <w:rPr>
                <w:rFonts w:ascii="宋体" w:hAnsi="宋体" w:eastAsia="宋体"/>
                <w:sz w:val="24"/>
                <w:szCs w:val="24"/>
              </w:rPr>
              <w:t>本项目设最高投标限价</w:t>
            </w:r>
            <w:r>
              <w:rPr>
                <w:rFonts w:hint="eastAsia" w:ascii="宋体" w:hAnsi="宋体" w:eastAsia="宋体"/>
                <w:sz w:val="24"/>
                <w:szCs w:val="24"/>
                <w:lang w:eastAsia="zh-CN"/>
              </w:rPr>
              <w:t>：</w:t>
            </w:r>
            <w:r>
              <w:rPr>
                <w:rFonts w:hint="eastAsia" w:ascii="宋体" w:hAnsi="宋体" w:eastAsia="宋体"/>
                <w:sz w:val="24"/>
                <w:szCs w:val="24"/>
                <w:lang w:val="en-US" w:eastAsia="zh-CN"/>
              </w:rPr>
              <w:t>35.83万元，费率为2.61%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06" w:hRule="atLeast"/>
        </w:trPr>
        <w:tc>
          <w:tcPr>
            <w:tcW w:w="922" w:type="dxa"/>
            <w:vAlign w:val="center"/>
          </w:tcPr>
          <w:p>
            <w:pPr>
              <w:spacing w:line="500" w:lineRule="exact"/>
              <w:jc w:val="center"/>
              <w:rPr>
                <w:rFonts w:hint="default" w:ascii="宋体" w:hAnsi="宋体" w:eastAsia="宋体"/>
                <w:sz w:val="24"/>
                <w:szCs w:val="24"/>
                <w:lang w:val="en-US" w:eastAsia="zh-CN"/>
              </w:rPr>
            </w:pPr>
            <w:r>
              <w:rPr>
                <w:rFonts w:hint="eastAsia" w:ascii="宋体" w:hAnsi="宋体" w:eastAsia="宋体"/>
                <w:sz w:val="24"/>
                <w:szCs w:val="24"/>
                <w:lang w:val="en-US" w:eastAsia="zh-CN"/>
              </w:rPr>
              <w:t>10.3</w:t>
            </w:r>
          </w:p>
        </w:tc>
        <w:tc>
          <w:tcPr>
            <w:tcW w:w="8288" w:type="dxa"/>
            <w:gridSpan w:val="2"/>
            <w:vAlign w:val="center"/>
          </w:tcPr>
          <w:p>
            <w:pPr>
              <w:spacing w:line="500" w:lineRule="exact"/>
              <w:rPr>
                <w:rFonts w:hint="eastAsia" w:ascii="宋体" w:hAnsi="宋体" w:eastAsia="宋体"/>
                <w:sz w:val="24"/>
                <w:szCs w:val="24"/>
                <w:lang w:eastAsia="zh-CN"/>
              </w:rPr>
            </w:pPr>
            <w:r>
              <w:rPr>
                <w:rFonts w:hint="eastAsia" w:ascii="宋体" w:hAnsi="宋体" w:eastAsia="宋体"/>
                <w:sz w:val="24"/>
                <w:szCs w:val="24"/>
                <w:lang w:eastAsia="zh-CN"/>
              </w:rPr>
              <w:t>付款方式：以合同签订为准</w:t>
            </w:r>
          </w:p>
        </w:tc>
      </w:tr>
    </w:tbl>
    <w:p>
      <w:pPr>
        <w:pStyle w:val="12"/>
        <w:spacing w:before="1"/>
        <w:rPr>
          <w:sz w:val="7"/>
        </w:rPr>
      </w:pPr>
    </w:p>
    <w:p>
      <w:pPr>
        <w:pStyle w:val="12"/>
        <w:spacing w:before="4"/>
        <w:rPr>
          <w:rFonts w:ascii="Times New Roman"/>
          <w:sz w:val="27"/>
        </w:rPr>
      </w:pPr>
    </w:p>
    <w:p>
      <w:pPr>
        <w:spacing w:line="460" w:lineRule="atLeast"/>
        <w:sectPr>
          <w:pgSz w:w="11910" w:h="16840"/>
          <w:pgMar w:top="1440" w:right="1800" w:bottom="1440" w:left="1800" w:header="902" w:footer="991" w:gutter="0"/>
          <w:cols w:space="720" w:num="1"/>
        </w:sectPr>
      </w:pPr>
    </w:p>
    <w:p>
      <w:pPr>
        <w:spacing w:line="360" w:lineRule="auto"/>
        <w:rPr>
          <w:rFonts w:ascii="宋体" w:hAnsi="宋体" w:eastAsia="宋体"/>
          <w:b/>
          <w:bCs/>
          <w:sz w:val="24"/>
          <w:szCs w:val="24"/>
        </w:rPr>
      </w:pPr>
      <w:bookmarkStart w:id="5" w:name="1．总则"/>
      <w:bookmarkEnd w:id="5"/>
      <w:r>
        <w:rPr>
          <w:rFonts w:hint="eastAsia" w:ascii="宋体" w:hAnsi="宋体" w:eastAsia="宋体" w:cs="黑体"/>
          <w:b/>
          <w:bCs/>
          <w:sz w:val="24"/>
          <w:szCs w:val="24"/>
        </w:rPr>
        <w:t>1、</w:t>
      </w:r>
      <w:r>
        <w:rPr>
          <w:rFonts w:ascii="宋体" w:hAnsi="宋体" w:eastAsia="宋体" w:cs="黑体"/>
          <w:b/>
          <w:bCs/>
          <w:sz w:val="24"/>
          <w:szCs w:val="24"/>
        </w:rPr>
        <w:t>总则</w:t>
      </w:r>
    </w:p>
    <w:p>
      <w:pPr>
        <w:spacing w:line="360" w:lineRule="auto"/>
        <w:outlineLvl w:val="0"/>
        <w:rPr>
          <w:rFonts w:ascii="宋体" w:hAnsi="宋体" w:eastAsia="宋体"/>
          <w:b/>
          <w:sz w:val="24"/>
          <w:szCs w:val="24"/>
        </w:rPr>
      </w:pPr>
      <w:bookmarkStart w:id="6" w:name="_Toc5673"/>
      <w:r>
        <w:rPr>
          <w:rFonts w:hint="eastAsia" w:ascii="宋体" w:hAnsi="宋体" w:eastAsia="宋体"/>
          <w:b/>
          <w:sz w:val="24"/>
          <w:szCs w:val="24"/>
        </w:rPr>
        <w:t>1.1</w:t>
      </w:r>
      <w:r>
        <w:rPr>
          <w:rFonts w:ascii="宋体" w:hAnsi="宋体" w:eastAsia="宋体"/>
          <w:b/>
          <w:sz w:val="24"/>
          <w:szCs w:val="24"/>
        </w:rPr>
        <w:t>采购项目概况</w:t>
      </w:r>
      <w:bookmarkEnd w:id="6"/>
    </w:p>
    <w:p>
      <w:pPr>
        <w:spacing w:line="360" w:lineRule="auto"/>
        <w:ind w:firstLine="480" w:firstLineChars="200"/>
        <w:outlineLvl w:val="0"/>
        <w:rPr>
          <w:rFonts w:ascii="宋体" w:hAnsi="宋体" w:eastAsia="宋体"/>
          <w:sz w:val="24"/>
          <w:szCs w:val="24"/>
        </w:rPr>
      </w:pPr>
      <w:bookmarkStart w:id="7" w:name="_Toc11556"/>
      <w:r>
        <w:rPr>
          <w:rFonts w:hint="eastAsia" w:ascii="宋体" w:hAnsi="宋体" w:eastAsia="宋体"/>
          <w:sz w:val="24"/>
          <w:szCs w:val="24"/>
        </w:rPr>
        <w:t>1.1.1</w:t>
      </w:r>
      <w:r>
        <w:rPr>
          <w:rFonts w:ascii="宋体" w:hAnsi="宋体" w:eastAsia="宋体"/>
          <w:sz w:val="24"/>
          <w:szCs w:val="24"/>
        </w:rPr>
        <w:t>根据《中华人民共和国</w:t>
      </w:r>
      <w:r>
        <w:rPr>
          <w:rFonts w:hint="eastAsia" w:ascii="宋体" w:hAnsi="宋体" w:eastAsia="宋体"/>
          <w:sz w:val="24"/>
          <w:szCs w:val="24"/>
        </w:rPr>
        <w:t>政府采购</w:t>
      </w:r>
      <w:r>
        <w:rPr>
          <w:rFonts w:ascii="宋体" w:hAnsi="宋体" w:eastAsia="宋体"/>
          <w:sz w:val="24"/>
          <w:szCs w:val="24"/>
        </w:rPr>
        <w:t>法》、《中华人民共和国</w:t>
      </w:r>
      <w:r>
        <w:rPr>
          <w:rFonts w:hint="eastAsia" w:ascii="宋体" w:hAnsi="宋体" w:eastAsia="宋体"/>
          <w:sz w:val="24"/>
          <w:szCs w:val="24"/>
        </w:rPr>
        <w:t>政府采购</w:t>
      </w:r>
      <w:r>
        <w:rPr>
          <w:rFonts w:ascii="宋体" w:hAnsi="宋体" w:eastAsia="宋体"/>
          <w:sz w:val="24"/>
          <w:szCs w:val="24"/>
        </w:rPr>
        <w:t>法实施条例》</w:t>
      </w:r>
      <w:r>
        <w:rPr>
          <w:rFonts w:hint="eastAsia" w:ascii="宋体" w:hAnsi="宋体" w:eastAsia="宋体"/>
          <w:sz w:val="24"/>
          <w:szCs w:val="24"/>
        </w:rPr>
        <w:t>、《政府采购竞争性磋商采购方式管理暂行办法》</w:t>
      </w:r>
      <w:r>
        <w:rPr>
          <w:rFonts w:ascii="宋体" w:hAnsi="宋体" w:eastAsia="宋体"/>
          <w:sz w:val="24"/>
          <w:szCs w:val="24"/>
        </w:rPr>
        <w:t>等有关法律、法规和规章的规定，本采购项目已具备采购条件，现进行采购。</w:t>
      </w:r>
      <w:bookmarkEnd w:id="7"/>
    </w:p>
    <w:p>
      <w:pPr>
        <w:spacing w:line="360" w:lineRule="auto"/>
        <w:ind w:firstLine="480" w:firstLineChars="200"/>
        <w:outlineLvl w:val="0"/>
        <w:rPr>
          <w:rFonts w:ascii="宋体" w:hAnsi="宋体" w:eastAsia="宋体"/>
          <w:sz w:val="24"/>
          <w:szCs w:val="24"/>
        </w:rPr>
      </w:pPr>
      <w:bookmarkStart w:id="8" w:name="_Toc5807"/>
      <w:r>
        <w:rPr>
          <w:rFonts w:ascii="宋体" w:hAnsi="宋体" w:eastAsia="宋体"/>
          <w:sz w:val="24"/>
          <w:szCs w:val="24"/>
        </w:rPr>
        <w:t>1.1.2采购人</w:t>
      </w:r>
      <w:r>
        <w:rPr>
          <w:rFonts w:hint="eastAsia" w:ascii="宋体" w:hAnsi="宋体" w:eastAsia="宋体"/>
          <w:sz w:val="24"/>
          <w:szCs w:val="24"/>
        </w:rPr>
        <w:t>（招标人）</w:t>
      </w:r>
      <w:r>
        <w:rPr>
          <w:rFonts w:ascii="宋体" w:hAnsi="宋体" w:eastAsia="宋体"/>
          <w:sz w:val="24"/>
          <w:szCs w:val="24"/>
        </w:rPr>
        <w:t>：见供应商须知前附表。</w:t>
      </w:r>
      <w:bookmarkEnd w:id="8"/>
    </w:p>
    <w:p>
      <w:pPr>
        <w:spacing w:line="360" w:lineRule="auto"/>
        <w:ind w:firstLine="480" w:firstLineChars="200"/>
        <w:outlineLvl w:val="0"/>
        <w:rPr>
          <w:rFonts w:ascii="宋体" w:hAnsi="宋体" w:eastAsia="宋体"/>
          <w:sz w:val="24"/>
          <w:szCs w:val="24"/>
        </w:rPr>
      </w:pPr>
      <w:bookmarkStart w:id="9" w:name="_Toc16656"/>
      <w:r>
        <w:rPr>
          <w:rFonts w:ascii="宋体" w:hAnsi="宋体" w:eastAsia="宋体"/>
          <w:sz w:val="24"/>
          <w:szCs w:val="24"/>
        </w:rPr>
        <w:t>1.1.3</w:t>
      </w:r>
      <w:r>
        <w:rPr>
          <w:rFonts w:hint="eastAsia" w:ascii="宋体" w:hAnsi="宋体" w:eastAsia="宋体"/>
          <w:sz w:val="24"/>
          <w:szCs w:val="24"/>
        </w:rPr>
        <w:t>采购</w:t>
      </w:r>
      <w:r>
        <w:rPr>
          <w:rFonts w:ascii="宋体" w:hAnsi="宋体" w:eastAsia="宋体"/>
          <w:sz w:val="24"/>
          <w:szCs w:val="24"/>
        </w:rPr>
        <w:t>代理机构：见供应商须知前附表。</w:t>
      </w:r>
      <w:bookmarkEnd w:id="9"/>
    </w:p>
    <w:p>
      <w:pPr>
        <w:spacing w:line="360" w:lineRule="auto"/>
        <w:ind w:firstLine="480" w:firstLineChars="200"/>
        <w:outlineLvl w:val="0"/>
        <w:rPr>
          <w:rFonts w:ascii="宋体" w:hAnsi="宋体" w:eastAsia="宋体"/>
          <w:sz w:val="24"/>
          <w:szCs w:val="24"/>
        </w:rPr>
      </w:pPr>
      <w:bookmarkStart w:id="10" w:name="_Toc30101"/>
      <w:r>
        <w:rPr>
          <w:rFonts w:ascii="宋体" w:hAnsi="宋体" w:eastAsia="宋体"/>
          <w:sz w:val="24"/>
          <w:szCs w:val="24"/>
        </w:rPr>
        <w:t>1.1.4采购项目名称：见供应商须知前附表。</w:t>
      </w:r>
      <w:bookmarkEnd w:id="10"/>
    </w:p>
    <w:p>
      <w:pPr>
        <w:spacing w:line="360" w:lineRule="auto"/>
        <w:ind w:firstLine="480" w:firstLineChars="200"/>
        <w:rPr>
          <w:rFonts w:ascii="宋体" w:hAnsi="宋体" w:eastAsia="宋体"/>
          <w:sz w:val="24"/>
          <w:szCs w:val="24"/>
        </w:rPr>
      </w:pPr>
      <w:r>
        <w:rPr>
          <w:rFonts w:hint="eastAsia" w:ascii="宋体" w:hAnsi="宋体" w:eastAsia="宋体"/>
          <w:sz w:val="24"/>
          <w:szCs w:val="24"/>
        </w:rPr>
        <w:t>1.1.5落实政府采购政策要求:</w:t>
      </w:r>
      <w:r>
        <w:rPr>
          <w:rFonts w:ascii="宋体" w:hAnsi="宋体" w:eastAsia="宋体"/>
          <w:sz w:val="24"/>
          <w:szCs w:val="24"/>
        </w:rPr>
        <w:t xml:space="preserve"> 见供应商须知前附表。</w:t>
      </w:r>
    </w:p>
    <w:p>
      <w:pPr>
        <w:spacing w:line="360" w:lineRule="auto"/>
        <w:ind w:firstLine="480" w:firstLineChars="200"/>
        <w:outlineLvl w:val="0"/>
        <w:rPr>
          <w:rFonts w:hint="eastAsia" w:ascii="宋体" w:hAnsi="宋体" w:eastAsia="宋体"/>
          <w:sz w:val="24"/>
          <w:szCs w:val="24"/>
        </w:rPr>
      </w:pPr>
      <w:bookmarkStart w:id="11" w:name="_Toc2107"/>
      <w:r>
        <w:rPr>
          <w:rFonts w:hint="eastAsia" w:ascii="宋体" w:hAnsi="宋体" w:eastAsia="宋体"/>
          <w:sz w:val="24"/>
          <w:szCs w:val="24"/>
        </w:rPr>
        <w:t>（1）根据财政部工业和信息化部</w:t>
      </w:r>
      <w:r>
        <w:rPr>
          <w:rFonts w:hint="eastAsia" w:ascii="宋体" w:hAnsi="宋体" w:eastAsia="宋体"/>
          <w:sz w:val="24"/>
          <w:szCs w:val="24"/>
          <w:lang w:eastAsia="zh-CN"/>
        </w:rPr>
        <w:t>《政府采购促进中小企业发展管理办法》（财库﹝2020﹞46 号）</w:t>
      </w:r>
      <w:r>
        <w:rPr>
          <w:rFonts w:hint="eastAsia" w:ascii="宋体" w:hAnsi="宋体" w:eastAsia="宋体"/>
          <w:sz w:val="24"/>
          <w:szCs w:val="24"/>
        </w:rPr>
        <w:t>的规定，本项目对中小企业作为供应商所提供的小微企业生产的产品的价格给予6%-10%的扣除。</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2</w:t>
      </w:r>
      <w:r>
        <w:rPr>
          <w:rFonts w:hint="eastAsia" w:ascii="宋体" w:hAnsi="宋体" w:eastAsia="宋体"/>
          <w:sz w:val="24"/>
          <w:szCs w:val="24"/>
        </w:rPr>
        <w:t>）根据财政部司法部《关于政府采购支持监狱企业发展有关问题的通知》（财库〔2014〕68号）规定，监狱企业视同小型、微型企业，享受评审中价格扣除等政府采购促进中小企业发展的政府采购政策。</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3</w:t>
      </w:r>
      <w:r>
        <w:rPr>
          <w:rFonts w:hint="eastAsia" w:ascii="宋体" w:hAnsi="宋体" w:eastAsia="宋体"/>
          <w:sz w:val="24"/>
          <w:szCs w:val="24"/>
        </w:rPr>
        <w:t>）根据财政部民政部中国残疾人联合会《关于促进残疾人就业政府采购政策的通知》（财库〔2017〕141号）规定，残疾人福利性单位视同小型、微型企业，享受评审中价格扣除等政府采购促进中小企业发展的政府采购政策。</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4</w:t>
      </w:r>
      <w:r>
        <w:rPr>
          <w:rFonts w:hint="eastAsia" w:ascii="宋体" w:hAnsi="宋体" w:eastAsia="宋体"/>
          <w:sz w:val="24"/>
          <w:szCs w:val="24"/>
        </w:rPr>
        <w:t>）同一供应商（包括联合体），中小微企业产品、监狱企业产品、残疾人福利性单位产品价格扣除优惠只享受一次，不得重复享受。</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rPr>
        <w:t>（</w:t>
      </w:r>
      <w:r>
        <w:rPr>
          <w:rFonts w:hint="eastAsia" w:ascii="宋体" w:hAnsi="宋体" w:eastAsia="宋体"/>
          <w:sz w:val="24"/>
          <w:szCs w:val="24"/>
          <w:lang w:eastAsia="zh-CN"/>
        </w:rPr>
        <w:t>5</w:t>
      </w:r>
      <w:r>
        <w:rPr>
          <w:rFonts w:hint="eastAsia" w:ascii="宋体" w:hAnsi="宋体" w:eastAsia="宋体"/>
          <w:sz w:val="24"/>
          <w:szCs w:val="24"/>
        </w:rPr>
        <w:t>）根据财政部工业和信息化部</w:t>
      </w:r>
      <w:r>
        <w:rPr>
          <w:rFonts w:hint="eastAsia" w:ascii="宋体" w:hAnsi="宋体" w:eastAsia="宋体"/>
          <w:sz w:val="24"/>
          <w:szCs w:val="24"/>
          <w:lang w:eastAsia="zh-CN"/>
        </w:rPr>
        <w:t>《政府采购促进中小企业发展管理办法》（财库﹝2020﹞46 号）</w:t>
      </w:r>
      <w:r>
        <w:rPr>
          <w:rFonts w:hint="eastAsia" w:ascii="宋体" w:hAnsi="宋体" w:eastAsia="宋体"/>
          <w:sz w:val="24"/>
          <w:szCs w:val="24"/>
        </w:rPr>
        <w:t>的规定，</w:t>
      </w:r>
      <w:r>
        <w:rPr>
          <w:rFonts w:hint="eastAsia" w:ascii="宋体" w:hAnsi="宋体" w:eastAsia="宋体"/>
          <w:b/>
          <w:bCs/>
          <w:sz w:val="24"/>
          <w:szCs w:val="24"/>
        </w:rPr>
        <w:t>如本项目专门面向中小企业或小微企业采购的，评审中价格将均不予扣除。</w:t>
      </w:r>
    </w:p>
    <w:p>
      <w:pPr>
        <w:spacing w:line="360" w:lineRule="auto"/>
        <w:ind w:firstLine="480" w:firstLineChars="200"/>
        <w:outlineLvl w:val="0"/>
        <w:rPr>
          <w:rFonts w:ascii="宋体" w:hAnsi="宋体" w:eastAsia="宋体"/>
          <w:sz w:val="24"/>
          <w:szCs w:val="24"/>
        </w:rPr>
      </w:pPr>
      <w:r>
        <w:rPr>
          <w:rFonts w:hint="eastAsia" w:ascii="宋体" w:hAnsi="宋体" w:eastAsia="宋体"/>
          <w:sz w:val="24"/>
          <w:szCs w:val="24"/>
        </w:rPr>
        <w:t>1.1.6政府采购管理部门备案编号:</w:t>
      </w:r>
      <w:r>
        <w:rPr>
          <w:rFonts w:ascii="宋体" w:hAnsi="宋体" w:eastAsia="宋体"/>
          <w:sz w:val="24"/>
          <w:szCs w:val="24"/>
        </w:rPr>
        <w:t xml:space="preserve"> 见供应商须知前附表。</w:t>
      </w:r>
      <w:bookmarkEnd w:id="11"/>
    </w:p>
    <w:p>
      <w:pPr>
        <w:spacing w:line="360" w:lineRule="auto"/>
        <w:ind w:firstLine="480" w:firstLineChars="200"/>
        <w:outlineLvl w:val="0"/>
        <w:rPr>
          <w:rFonts w:ascii="宋体" w:hAnsi="宋体" w:eastAsia="宋体"/>
          <w:sz w:val="24"/>
          <w:szCs w:val="24"/>
        </w:rPr>
      </w:pPr>
      <w:bookmarkStart w:id="12" w:name="_Toc8998"/>
      <w:r>
        <w:rPr>
          <w:rFonts w:hint="eastAsia" w:ascii="宋体" w:hAnsi="宋体" w:eastAsia="宋体"/>
          <w:sz w:val="24"/>
          <w:szCs w:val="24"/>
        </w:rPr>
        <w:t>1.1.7采购编号:</w:t>
      </w:r>
      <w:r>
        <w:rPr>
          <w:rFonts w:ascii="宋体" w:hAnsi="宋体" w:eastAsia="宋体"/>
          <w:sz w:val="24"/>
          <w:szCs w:val="24"/>
        </w:rPr>
        <w:t xml:space="preserve"> 见供应商须知前附表</w:t>
      </w:r>
      <w:r>
        <w:rPr>
          <w:rFonts w:hint="eastAsia" w:ascii="宋体" w:hAnsi="宋体" w:eastAsia="宋体"/>
          <w:sz w:val="24"/>
          <w:szCs w:val="24"/>
        </w:rPr>
        <w:t>。</w:t>
      </w:r>
      <w:bookmarkEnd w:id="12"/>
    </w:p>
    <w:p>
      <w:pPr>
        <w:spacing w:line="360" w:lineRule="auto"/>
        <w:ind w:firstLine="480" w:firstLineChars="200"/>
        <w:outlineLvl w:val="0"/>
        <w:rPr>
          <w:rFonts w:ascii="宋体" w:hAnsi="宋体" w:eastAsia="宋体"/>
          <w:sz w:val="24"/>
          <w:szCs w:val="24"/>
        </w:rPr>
      </w:pPr>
      <w:bookmarkStart w:id="13" w:name="_Toc6902"/>
      <w:r>
        <w:rPr>
          <w:rFonts w:hint="eastAsia" w:ascii="宋体" w:hAnsi="宋体" w:eastAsia="宋体"/>
          <w:sz w:val="24"/>
          <w:szCs w:val="24"/>
        </w:rPr>
        <w:t>1.1.8采购范围:</w:t>
      </w:r>
      <w:r>
        <w:rPr>
          <w:rFonts w:ascii="宋体" w:hAnsi="宋体" w:eastAsia="宋体"/>
          <w:sz w:val="24"/>
          <w:szCs w:val="24"/>
        </w:rPr>
        <w:t xml:space="preserve"> 见供应商须知前附表。</w:t>
      </w:r>
      <w:bookmarkEnd w:id="13"/>
    </w:p>
    <w:p>
      <w:pPr>
        <w:spacing w:line="360" w:lineRule="auto"/>
        <w:ind w:firstLine="480" w:firstLineChars="200"/>
        <w:outlineLvl w:val="0"/>
        <w:rPr>
          <w:rFonts w:ascii="宋体" w:hAnsi="宋体" w:eastAsia="宋体"/>
          <w:sz w:val="24"/>
          <w:szCs w:val="24"/>
        </w:rPr>
      </w:pPr>
      <w:bookmarkStart w:id="14" w:name="_Toc24704"/>
      <w:r>
        <w:rPr>
          <w:rFonts w:hint="eastAsia" w:ascii="宋体" w:hAnsi="宋体" w:eastAsia="宋体"/>
          <w:sz w:val="24"/>
          <w:szCs w:val="24"/>
        </w:rPr>
        <w:t>1.1.9采购包划分:</w:t>
      </w:r>
      <w:r>
        <w:rPr>
          <w:rFonts w:ascii="宋体" w:hAnsi="宋体" w:eastAsia="宋体"/>
          <w:sz w:val="24"/>
          <w:szCs w:val="24"/>
        </w:rPr>
        <w:t xml:space="preserve"> 见供应商须知前附表</w:t>
      </w:r>
      <w:r>
        <w:rPr>
          <w:rFonts w:hint="eastAsia" w:ascii="宋体" w:hAnsi="宋体" w:eastAsia="宋体"/>
          <w:sz w:val="24"/>
          <w:szCs w:val="24"/>
        </w:rPr>
        <w:t>。</w:t>
      </w:r>
      <w:bookmarkEnd w:id="14"/>
    </w:p>
    <w:p>
      <w:pPr>
        <w:spacing w:line="360" w:lineRule="auto"/>
        <w:ind w:firstLine="480" w:firstLineChars="200"/>
        <w:outlineLvl w:val="0"/>
        <w:rPr>
          <w:rFonts w:ascii="宋体" w:hAnsi="宋体" w:eastAsia="宋体"/>
          <w:sz w:val="24"/>
          <w:szCs w:val="24"/>
        </w:rPr>
      </w:pPr>
      <w:bookmarkStart w:id="15" w:name="_Toc13540"/>
      <w:r>
        <w:rPr>
          <w:rFonts w:hint="eastAsia" w:ascii="宋体" w:hAnsi="宋体" w:eastAsia="宋体"/>
          <w:sz w:val="24"/>
          <w:szCs w:val="24"/>
        </w:rPr>
        <w:t>1.1.10建设规模：见投标人须知前附表。</w:t>
      </w:r>
      <w:bookmarkEnd w:id="15"/>
    </w:p>
    <w:p>
      <w:pPr>
        <w:spacing w:line="360" w:lineRule="auto"/>
        <w:ind w:firstLine="480" w:firstLineChars="200"/>
        <w:outlineLvl w:val="0"/>
        <w:rPr>
          <w:rFonts w:ascii="宋体" w:hAnsi="宋体" w:eastAsia="宋体"/>
          <w:sz w:val="24"/>
          <w:szCs w:val="24"/>
        </w:rPr>
      </w:pPr>
      <w:bookmarkStart w:id="16" w:name="_Toc1252"/>
      <w:r>
        <w:rPr>
          <w:rFonts w:hint="eastAsia" w:ascii="宋体" w:hAnsi="宋体" w:eastAsia="宋体"/>
          <w:sz w:val="24"/>
          <w:szCs w:val="24"/>
        </w:rPr>
        <w:t>1.1.11</w:t>
      </w:r>
      <w:r>
        <w:rPr>
          <w:rFonts w:hint="eastAsia" w:ascii="宋体" w:hAnsi="宋体" w:eastAsia="宋体" w:cs="宋体"/>
          <w:sz w:val="24"/>
          <w:szCs w:val="24"/>
        </w:rPr>
        <w:t>建筑安装工程费／工程概算投资额：</w:t>
      </w:r>
      <w:r>
        <w:rPr>
          <w:rFonts w:hint="eastAsia" w:ascii="宋体" w:hAnsi="宋体" w:eastAsia="宋体"/>
          <w:sz w:val="24"/>
          <w:szCs w:val="24"/>
        </w:rPr>
        <w:t>见投标人须知前附表。</w:t>
      </w:r>
      <w:bookmarkEnd w:id="16"/>
    </w:p>
    <w:p>
      <w:pPr>
        <w:spacing w:line="360" w:lineRule="auto"/>
        <w:outlineLvl w:val="0"/>
        <w:rPr>
          <w:rFonts w:ascii="宋体" w:hAnsi="宋体" w:eastAsia="宋体"/>
          <w:b/>
          <w:sz w:val="24"/>
          <w:szCs w:val="24"/>
        </w:rPr>
      </w:pPr>
      <w:bookmarkStart w:id="17" w:name="_Toc14542"/>
      <w:r>
        <w:rPr>
          <w:rFonts w:ascii="宋体" w:hAnsi="宋体" w:eastAsia="宋体"/>
          <w:b/>
          <w:sz w:val="24"/>
          <w:szCs w:val="24"/>
        </w:rPr>
        <w:t>1.2 采购项目的资金来源</w:t>
      </w:r>
      <w:r>
        <w:rPr>
          <w:rFonts w:hint="eastAsia" w:ascii="宋体" w:hAnsi="宋体" w:eastAsia="宋体"/>
          <w:b/>
          <w:sz w:val="24"/>
          <w:szCs w:val="24"/>
        </w:rPr>
        <w:t>及付款方式</w:t>
      </w:r>
      <w:bookmarkEnd w:id="17"/>
    </w:p>
    <w:p>
      <w:pPr>
        <w:spacing w:line="360" w:lineRule="auto"/>
        <w:ind w:firstLine="480" w:firstLineChars="200"/>
        <w:outlineLvl w:val="0"/>
        <w:rPr>
          <w:rFonts w:ascii="宋体" w:hAnsi="宋体" w:eastAsia="宋体"/>
          <w:sz w:val="24"/>
          <w:szCs w:val="24"/>
        </w:rPr>
      </w:pPr>
      <w:bookmarkStart w:id="18" w:name="_Toc20223"/>
      <w:r>
        <w:rPr>
          <w:rFonts w:ascii="宋体" w:hAnsi="宋体" w:eastAsia="宋体"/>
          <w:sz w:val="24"/>
          <w:szCs w:val="24"/>
        </w:rPr>
        <w:t>1.2.1资金来源</w:t>
      </w:r>
      <w:r>
        <w:rPr>
          <w:rFonts w:hint="eastAsia" w:ascii="宋体" w:hAnsi="宋体" w:eastAsia="宋体"/>
          <w:sz w:val="24"/>
          <w:szCs w:val="24"/>
        </w:rPr>
        <w:t>:</w:t>
      </w:r>
      <w:r>
        <w:rPr>
          <w:rFonts w:ascii="宋体" w:hAnsi="宋体" w:eastAsia="宋体"/>
          <w:sz w:val="24"/>
          <w:szCs w:val="24"/>
        </w:rPr>
        <w:t xml:space="preserve"> 见供应商须知前附表。</w:t>
      </w:r>
      <w:bookmarkEnd w:id="18"/>
    </w:p>
    <w:p>
      <w:pPr>
        <w:spacing w:line="360" w:lineRule="auto"/>
        <w:ind w:firstLine="480" w:firstLineChars="200"/>
        <w:outlineLvl w:val="0"/>
        <w:rPr>
          <w:rFonts w:ascii="宋体" w:hAnsi="宋体" w:eastAsia="宋体"/>
          <w:sz w:val="24"/>
          <w:szCs w:val="24"/>
        </w:rPr>
      </w:pPr>
      <w:bookmarkStart w:id="19" w:name="_Toc23956"/>
      <w:r>
        <w:rPr>
          <w:rFonts w:hint="eastAsia" w:ascii="宋体" w:hAnsi="宋体" w:eastAsia="宋体"/>
          <w:sz w:val="24"/>
          <w:szCs w:val="24"/>
        </w:rPr>
        <w:t>1.2.2付款方式:</w:t>
      </w:r>
      <w:r>
        <w:rPr>
          <w:rFonts w:ascii="宋体" w:hAnsi="宋体" w:eastAsia="宋体"/>
          <w:sz w:val="24"/>
          <w:szCs w:val="24"/>
        </w:rPr>
        <w:t xml:space="preserve"> 见供应商须知前附表</w:t>
      </w:r>
      <w:r>
        <w:rPr>
          <w:rFonts w:hint="eastAsia" w:ascii="宋体" w:hAnsi="宋体" w:eastAsia="宋体"/>
          <w:sz w:val="24"/>
          <w:szCs w:val="24"/>
        </w:rPr>
        <w:t>，不接受该条件的响应将被否决</w:t>
      </w:r>
      <w:r>
        <w:rPr>
          <w:rFonts w:ascii="宋体" w:hAnsi="宋体" w:eastAsia="宋体"/>
          <w:sz w:val="24"/>
          <w:szCs w:val="24"/>
        </w:rPr>
        <w:t>。</w:t>
      </w:r>
      <w:bookmarkEnd w:id="19"/>
    </w:p>
    <w:p>
      <w:pPr>
        <w:spacing w:line="360" w:lineRule="auto"/>
        <w:outlineLvl w:val="0"/>
        <w:rPr>
          <w:rFonts w:ascii="宋体" w:hAnsi="宋体" w:eastAsia="宋体"/>
          <w:b/>
          <w:sz w:val="24"/>
          <w:szCs w:val="24"/>
        </w:rPr>
      </w:pPr>
      <w:bookmarkStart w:id="20" w:name="_Toc18825"/>
      <w:r>
        <w:rPr>
          <w:rFonts w:ascii="宋体" w:hAnsi="宋体" w:eastAsia="宋体"/>
          <w:b/>
          <w:sz w:val="24"/>
          <w:szCs w:val="24"/>
        </w:rPr>
        <w:t>1.3</w:t>
      </w:r>
      <w:r>
        <w:rPr>
          <w:rFonts w:hint="eastAsia" w:ascii="宋体" w:hAnsi="宋体" w:eastAsia="宋体"/>
          <w:b/>
          <w:sz w:val="24"/>
          <w:szCs w:val="24"/>
        </w:rPr>
        <w:t>工期、质量等</w:t>
      </w:r>
      <w:bookmarkEnd w:id="20"/>
    </w:p>
    <w:p>
      <w:pPr>
        <w:spacing w:line="360" w:lineRule="auto"/>
        <w:ind w:firstLine="480" w:firstLineChars="200"/>
        <w:outlineLvl w:val="0"/>
        <w:rPr>
          <w:rFonts w:ascii="宋体" w:hAnsi="宋体" w:eastAsia="宋体"/>
          <w:sz w:val="24"/>
          <w:szCs w:val="24"/>
        </w:rPr>
      </w:pPr>
      <w:bookmarkStart w:id="21" w:name="_Toc23804"/>
      <w:r>
        <w:rPr>
          <w:rFonts w:ascii="宋体" w:hAnsi="宋体" w:eastAsia="宋体"/>
          <w:sz w:val="24"/>
          <w:szCs w:val="24"/>
        </w:rPr>
        <w:t>1.3.1</w:t>
      </w:r>
      <w:r>
        <w:rPr>
          <w:rFonts w:hint="eastAsia" w:ascii="宋体" w:hAnsi="宋体" w:eastAsia="宋体"/>
          <w:sz w:val="24"/>
          <w:szCs w:val="24"/>
        </w:rPr>
        <w:t>工期</w:t>
      </w:r>
      <w:r>
        <w:rPr>
          <w:rFonts w:ascii="宋体" w:hAnsi="宋体" w:eastAsia="宋体"/>
          <w:sz w:val="24"/>
          <w:szCs w:val="24"/>
        </w:rPr>
        <w:t>：见供应商须知前附表</w:t>
      </w:r>
      <w:r>
        <w:rPr>
          <w:rFonts w:hint="eastAsia" w:ascii="宋体" w:hAnsi="宋体" w:eastAsia="宋体"/>
          <w:sz w:val="24"/>
          <w:szCs w:val="24"/>
        </w:rPr>
        <w:t>，不接受该条件的响应将被否决。</w:t>
      </w:r>
      <w:bookmarkEnd w:id="21"/>
    </w:p>
    <w:p>
      <w:pPr>
        <w:spacing w:line="360" w:lineRule="auto"/>
        <w:ind w:firstLine="480" w:firstLineChars="200"/>
        <w:outlineLvl w:val="0"/>
        <w:rPr>
          <w:rFonts w:ascii="宋体" w:hAnsi="宋体" w:eastAsia="宋体"/>
          <w:sz w:val="24"/>
          <w:szCs w:val="24"/>
        </w:rPr>
      </w:pPr>
      <w:bookmarkStart w:id="22" w:name="_Toc352"/>
      <w:r>
        <w:rPr>
          <w:rFonts w:hint="eastAsia" w:ascii="宋体" w:hAnsi="宋体" w:eastAsia="宋体"/>
          <w:sz w:val="24"/>
          <w:szCs w:val="24"/>
        </w:rPr>
        <w:t>1.3.2质量</w:t>
      </w:r>
      <w:r>
        <w:rPr>
          <w:rFonts w:hint="eastAsia" w:ascii="宋体" w:hAnsi="宋体" w:eastAsia="宋体"/>
          <w:bCs/>
          <w:sz w:val="24"/>
          <w:szCs w:val="24"/>
        </w:rPr>
        <w:t>目标</w:t>
      </w:r>
      <w:r>
        <w:rPr>
          <w:rFonts w:hint="eastAsia" w:ascii="宋体" w:hAnsi="宋体" w:eastAsia="宋体"/>
          <w:sz w:val="24"/>
          <w:szCs w:val="24"/>
        </w:rPr>
        <w:t>：</w:t>
      </w:r>
      <w:r>
        <w:rPr>
          <w:rFonts w:ascii="宋体" w:hAnsi="宋体" w:eastAsia="宋体"/>
          <w:sz w:val="24"/>
          <w:szCs w:val="24"/>
        </w:rPr>
        <w:t>见供应商须知前附表</w:t>
      </w:r>
      <w:r>
        <w:rPr>
          <w:rFonts w:hint="eastAsia" w:ascii="宋体" w:hAnsi="宋体" w:eastAsia="宋体"/>
          <w:sz w:val="24"/>
          <w:szCs w:val="24"/>
        </w:rPr>
        <w:t>，不接受该条件的响应将被否决。</w:t>
      </w:r>
      <w:bookmarkEnd w:id="22"/>
    </w:p>
    <w:p>
      <w:pPr>
        <w:spacing w:line="360" w:lineRule="auto"/>
        <w:ind w:firstLine="480" w:firstLineChars="200"/>
        <w:outlineLvl w:val="0"/>
        <w:rPr>
          <w:rFonts w:ascii="宋体" w:hAnsi="宋体" w:eastAsia="宋体"/>
          <w:sz w:val="24"/>
          <w:szCs w:val="24"/>
        </w:rPr>
      </w:pPr>
      <w:bookmarkStart w:id="23" w:name="_Toc2545"/>
      <w:r>
        <w:rPr>
          <w:rFonts w:hint="eastAsia" w:ascii="宋体" w:hAnsi="宋体" w:eastAsia="宋体"/>
          <w:sz w:val="24"/>
          <w:szCs w:val="24"/>
        </w:rPr>
        <w:t>1.3.3</w:t>
      </w:r>
      <w:r>
        <w:rPr>
          <w:rFonts w:hint="eastAsia" w:ascii="宋体" w:hAnsi="宋体" w:eastAsia="宋体"/>
          <w:bCs/>
          <w:sz w:val="24"/>
          <w:szCs w:val="24"/>
        </w:rPr>
        <w:t>安全目标：</w:t>
      </w:r>
      <w:r>
        <w:rPr>
          <w:rFonts w:ascii="宋体" w:hAnsi="宋体" w:eastAsia="宋体"/>
          <w:sz w:val="24"/>
          <w:szCs w:val="24"/>
        </w:rPr>
        <w:t>见供应商须知前附表</w:t>
      </w:r>
      <w:r>
        <w:rPr>
          <w:rFonts w:hint="eastAsia" w:ascii="宋体" w:hAnsi="宋体" w:eastAsia="宋体"/>
          <w:sz w:val="24"/>
          <w:szCs w:val="24"/>
        </w:rPr>
        <w:t>，不接受该条件的响应将被否决。</w:t>
      </w:r>
      <w:bookmarkEnd w:id="23"/>
    </w:p>
    <w:p>
      <w:pPr>
        <w:spacing w:line="360" w:lineRule="auto"/>
        <w:outlineLvl w:val="0"/>
        <w:rPr>
          <w:rFonts w:ascii="宋体" w:hAnsi="宋体" w:eastAsia="宋体"/>
          <w:b/>
          <w:sz w:val="24"/>
          <w:szCs w:val="24"/>
        </w:rPr>
      </w:pPr>
      <w:bookmarkStart w:id="24" w:name="_Toc6454"/>
      <w:r>
        <w:rPr>
          <w:rFonts w:ascii="宋体" w:hAnsi="宋体" w:eastAsia="宋体"/>
          <w:b/>
          <w:sz w:val="24"/>
          <w:szCs w:val="24"/>
        </w:rPr>
        <w:t>1.4 供应商资格要求</w:t>
      </w:r>
      <w:bookmarkEnd w:id="24"/>
    </w:p>
    <w:p>
      <w:pPr>
        <w:spacing w:line="360" w:lineRule="auto"/>
        <w:ind w:firstLine="480" w:firstLineChars="200"/>
        <w:outlineLvl w:val="0"/>
        <w:rPr>
          <w:rFonts w:ascii="宋体" w:hAnsi="宋体" w:eastAsia="宋体"/>
          <w:sz w:val="24"/>
          <w:szCs w:val="24"/>
        </w:rPr>
      </w:pPr>
      <w:bookmarkStart w:id="25" w:name="_Toc4585"/>
      <w:r>
        <w:rPr>
          <w:rFonts w:ascii="宋体" w:hAnsi="宋体" w:eastAsia="宋体"/>
          <w:sz w:val="24"/>
          <w:szCs w:val="24"/>
        </w:rPr>
        <w:t>1.4.1供应商</w:t>
      </w:r>
      <w:r>
        <w:rPr>
          <w:rFonts w:hint="eastAsia" w:ascii="宋体" w:hAnsi="宋体" w:eastAsia="宋体"/>
          <w:sz w:val="24"/>
          <w:szCs w:val="24"/>
        </w:rPr>
        <w:t>资格要求</w:t>
      </w:r>
      <w:r>
        <w:rPr>
          <w:rFonts w:ascii="宋体" w:hAnsi="宋体" w:eastAsia="宋体"/>
          <w:sz w:val="24"/>
          <w:szCs w:val="24"/>
        </w:rPr>
        <w:t>：</w:t>
      </w:r>
      <w:r>
        <w:rPr>
          <w:rFonts w:hint="eastAsia" w:ascii="宋体" w:hAnsi="宋体" w:eastAsia="宋体"/>
          <w:sz w:val="24"/>
          <w:szCs w:val="24"/>
        </w:rPr>
        <w:t>供应商应当符合《政府采购法》第二十二条第一款规定的条件，具体</w:t>
      </w:r>
      <w:r>
        <w:rPr>
          <w:rFonts w:ascii="宋体" w:hAnsi="宋体" w:eastAsia="宋体"/>
          <w:sz w:val="24"/>
          <w:szCs w:val="24"/>
        </w:rPr>
        <w:t>见供应商须知前附表。</w:t>
      </w:r>
      <w:bookmarkEnd w:id="25"/>
    </w:p>
    <w:p>
      <w:pPr>
        <w:spacing w:line="360" w:lineRule="auto"/>
        <w:ind w:firstLine="480" w:firstLineChars="200"/>
        <w:outlineLvl w:val="0"/>
        <w:rPr>
          <w:rFonts w:ascii="宋体" w:hAnsi="宋体" w:eastAsia="宋体"/>
          <w:sz w:val="24"/>
          <w:szCs w:val="24"/>
        </w:rPr>
      </w:pPr>
      <w:bookmarkStart w:id="26" w:name="_Toc4088"/>
      <w:r>
        <w:rPr>
          <w:rFonts w:ascii="宋体" w:hAnsi="宋体" w:eastAsia="宋体"/>
          <w:sz w:val="24"/>
          <w:szCs w:val="24"/>
        </w:rPr>
        <w:t>1.4.2供应商须知前附表规定接受联合体的，联合体除应符合本章第 1.4.1 项和供应商须知前附表的要求外，还应遵守以下规定：</w:t>
      </w:r>
      <w:bookmarkEnd w:id="26"/>
    </w:p>
    <w:p>
      <w:pPr>
        <w:spacing w:line="360" w:lineRule="auto"/>
        <w:ind w:firstLine="480" w:firstLineChars="200"/>
        <w:outlineLvl w:val="0"/>
        <w:rPr>
          <w:rFonts w:ascii="宋体" w:hAnsi="宋体" w:eastAsia="宋体"/>
          <w:sz w:val="24"/>
          <w:szCs w:val="24"/>
        </w:rPr>
      </w:pPr>
      <w:bookmarkStart w:id="27" w:name="_Toc2631"/>
      <w:r>
        <w:rPr>
          <w:rFonts w:ascii="宋体" w:hAnsi="宋体" w:eastAsia="宋体"/>
          <w:sz w:val="24"/>
          <w:szCs w:val="24"/>
        </w:rPr>
        <w:t>（1）联合体各方应按磋商文件提供的格式签订联合体协议书，明确联合体牵头人和各方权利义务，并承诺就成交项目向采购人承担连带责任；</w:t>
      </w:r>
      <w:bookmarkEnd w:id="27"/>
    </w:p>
    <w:p>
      <w:pPr>
        <w:spacing w:line="360" w:lineRule="auto"/>
        <w:ind w:firstLine="480" w:firstLineChars="200"/>
        <w:outlineLvl w:val="0"/>
        <w:rPr>
          <w:rFonts w:ascii="宋体" w:hAnsi="宋体" w:eastAsia="宋体"/>
          <w:sz w:val="24"/>
          <w:szCs w:val="24"/>
        </w:rPr>
      </w:pPr>
      <w:bookmarkStart w:id="28" w:name="_Toc30483"/>
      <w:r>
        <w:rPr>
          <w:rFonts w:hint="eastAsia" w:ascii="宋体" w:hAnsi="宋体" w:eastAsia="宋体"/>
          <w:sz w:val="24"/>
          <w:szCs w:val="24"/>
        </w:rPr>
        <w:t>（2）两个以上的自然人、法人或者其他组织可以组成一个联合体，以一个供应商的身份共同参加政府采购。</w:t>
      </w:r>
      <w:bookmarkEnd w:id="28"/>
    </w:p>
    <w:p>
      <w:pPr>
        <w:spacing w:line="360" w:lineRule="auto"/>
        <w:ind w:firstLine="480" w:firstLineChars="200"/>
        <w:outlineLvl w:val="0"/>
        <w:rPr>
          <w:rFonts w:ascii="宋体" w:hAnsi="宋体" w:eastAsia="宋体"/>
          <w:sz w:val="24"/>
          <w:szCs w:val="24"/>
        </w:rPr>
      </w:pPr>
      <w:bookmarkStart w:id="29" w:name="_Toc12785"/>
      <w:r>
        <w:rPr>
          <w:rFonts w:hint="eastAsia" w:ascii="宋体" w:hAnsi="宋体" w:eastAsia="宋体"/>
          <w:sz w:val="24"/>
          <w:szCs w:val="24"/>
        </w:rPr>
        <w:t>（3）联合体各方均应当符合《政府采购法》第二十二条第一款规定的条件，根据采购项目的特殊要求规定供应商特定条件的，联合体各方中至少应当有一方符合采购公告规定的供应商资格条件。联合体中有同类资质的供应商按照联合体分工承担相同工作的，应当按照资质等级较低的供应商确定资质等级。</w:t>
      </w:r>
      <w:bookmarkEnd w:id="29"/>
    </w:p>
    <w:p>
      <w:pPr>
        <w:spacing w:line="360" w:lineRule="auto"/>
        <w:ind w:firstLine="480" w:firstLineChars="200"/>
        <w:outlineLvl w:val="0"/>
        <w:rPr>
          <w:rFonts w:ascii="宋体" w:hAnsi="宋体" w:eastAsia="宋体"/>
          <w:sz w:val="24"/>
          <w:szCs w:val="24"/>
        </w:rPr>
      </w:pPr>
      <w:bookmarkStart w:id="30" w:name="_Toc68"/>
      <w:r>
        <w:rPr>
          <w:rFonts w:hint="eastAsia" w:ascii="宋体" w:hAnsi="宋体" w:eastAsia="宋体"/>
          <w:sz w:val="24"/>
          <w:szCs w:val="24"/>
        </w:rPr>
        <w:t>（4）</w:t>
      </w:r>
      <w:r>
        <w:rPr>
          <w:rFonts w:ascii="宋体" w:hAnsi="宋体" w:eastAsia="宋体"/>
          <w:sz w:val="24"/>
          <w:szCs w:val="24"/>
        </w:rPr>
        <w:t>联合体各方不得再以自己名义单独或参加其他联合体在本采购项目中</w:t>
      </w:r>
      <w:r>
        <w:rPr>
          <w:rFonts w:hint="eastAsia" w:ascii="宋体" w:hAnsi="宋体" w:eastAsia="宋体"/>
          <w:sz w:val="24"/>
          <w:szCs w:val="24"/>
        </w:rPr>
        <w:t>参与</w:t>
      </w:r>
      <w:r>
        <w:rPr>
          <w:rFonts w:ascii="宋体" w:hAnsi="宋体" w:eastAsia="宋体"/>
          <w:sz w:val="24"/>
          <w:szCs w:val="24"/>
        </w:rPr>
        <w:t>，否则各相关</w:t>
      </w:r>
      <w:r>
        <w:rPr>
          <w:rFonts w:hint="eastAsia" w:ascii="宋体" w:hAnsi="宋体" w:eastAsia="宋体"/>
          <w:sz w:val="24"/>
          <w:szCs w:val="24"/>
        </w:rPr>
        <w:t>响应文件</w:t>
      </w:r>
      <w:r>
        <w:rPr>
          <w:rFonts w:ascii="宋体" w:hAnsi="宋体" w:eastAsia="宋体"/>
          <w:sz w:val="24"/>
          <w:szCs w:val="24"/>
        </w:rPr>
        <w:t>均无效</w:t>
      </w:r>
      <w:r>
        <w:rPr>
          <w:rFonts w:hint="eastAsia" w:ascii="宋体" w:hAnsi="宋体" w:eastAsia="宋体"/>
          <w:sz w:val="24"/>
          <w:szCs w:val="24"/>
        </w:rPr>
        <w:t>。</w:t>
      </w:r>
      <w:bookmarkEnd w:id="30"/>
    </w:p>
    <w:p>
      <w:pPr>
        <w:spacing w:line="360" w:lineRule="auto"/>
        <w:ind w:firstLine="480" w:firstLineChars="200"/>
        <w:outlineLvl w:val="0"/>
        <w:rPr>
          <w:rFonts w:ascii="宋体" w:hAnsi="宋体" w:eastAsia="宋体"/>
          <w:sz w:val="24"/>
          <w:szCs w:val="24"/>
        </w:rPr>
      </w:pPr>
      <w:bookmarkStart w:id="31" w:name="_Toc20595"/>
      <w:r>
        <w:rPr>
          <w:rFonts w:ascii="宋体" w:hAnsi="宋体" w:eastAsia="宋体"/>
          <w:sz w:val="24"/>
          <w:szCs w:val="24"/>
        </w:rPr>
        <w:t>1.4.3供应商</w:t>
      </w:r>
      <w:r>
        <w:rPr>
          <w:rFonts w:hint="eastAsia" w:ascii="宋体" w:hAnsi="宋体" w:eastAsia="宋体"/>
          <w:sz w:val="24"/>
          <w:szCs w:val="24"/>
        </w:rPr>
        <w:t>不得与本标段相关单位存在下列关联关系</w:t>
      </w:r>
      <w:r>
        <w:rPr>
          <w:rFonts w:ascii="宋体" w:hAnsi="宋体" w:eastAsia="宋体"/>
          <w:sz w:val="24"/>
          <w:szCs w:val="24"/>
        </w:rPr>
        <w:t>：</w:t>
      </w:r>
      <w:bookmarkEnd w:id="31"/>
    </w:p>
    <w:p>
      <w:pPr>
        <w:spacing w:line="360" w:lineRule="auto"/>
        <w:ind w:firstLine="480" w:firstLineChars="200"/>
        <w:outlineLvl w:val="0"/>
        <w:rPr>
          <w:rFonts w:ascii="宋体" w:hAnsi="宋体" w:eastAsia="宋体"/>
          <w:sz w:val="24"/>
          <w:szCs w:val="24"/>
        </w:rPr>
      </w:pPr>
      <w:bookmarkStart w:id="32" w:name="_Toc18078"/>
      <w:r>
        <w:rPr>
          <w:rFonts w:hint="eastAsia" w:ascii="宋体" w:hAnsi="宋体" w:eastAsia="宋体"/>
          <w:sz w:val="24"/>
          <w:szCs w:val="24"/>
        </w:rPr>
        <w:t>(1) 为招标人不具有独立法人资格的附属机构（单位）：</w:t>
      </w:r>
      <w:bookmarkEnd w:id="32"/>
    </w:p>
    <w:p>
      <w:pPr>
        <w:spacing w:line="360" w:lineRule="auto"/>
        <w:ind w:firstLine="480" w:firstLineChars="200"/>
        <w:outlineLvl w:val="0"/>
        <w:rPr>
          <w:rFonts w:ascii="宋体" w:hAnsi="宋体" w:eastAsia="宋体"/>
          <w:sz w:val="24"/>
          <w:szCs w:val="24"/>
        </w:rPr>
      </w:pPr>
      <w:bookmarkStart w:id="33" w:name="_Toc10087"/>
      <w:r>
        <w:rPr>
          <w:rFonts w:hint="eastAsia" w:ascii="宋体" w:hAnsi="宋体" w:eastAsia="宋体"/>
          <w:sz w:val="24"/>
          <w:szCs w:val="24"/>
        </w:rPr>
        <w:t>(2)与招标人存在利害关系且可能影响招标公正性：</w:t>
      </w:r>
      <w:bookmarkEnd w:id="33"/>
    </w:p>
    <w:p>
      <w:pPr>
        <w:spacing w:line="360" w:lineRule="auto"/>
        <w:ind w:firstLine="480" w:firstLineChars="200"/>
        <w:outlineLvl w:val="0"/>
        <w:rPr>
          <w:rFonts w:ascii="宋体" w:hAnsi="宋体" w:eastAsia="宋体"/>
          <w:sz w:val="24"/>
          <w:szCs w:val="24"/>
        </w:rPr>
      </w:pPr>
      <w:bookmarkStart w:id="34" w:name="_Toc5339"/>
      <w:r>
        <w:rPr>
          <w:rFonts w:hint="eastAsia" w:ascii="宋体" w:hAnsi="宋体" w:eastAsia="宋体"/>
          <w:sz w:val="24"/>
          <w:szCs w:val="24"/>
        </w:rPr>
        <w:t>(3) 与本标段的其他投标人同为一个单位负责人；</w:t>
      </w:r>
      <w:bookmarkEnd w:id="34"/>
    </w:p>
    <w:p>
      <w:pPr>
        <w:spacing w:line="360" w:lineRule="auto"/>
        <w:ind w:firstLine="480" w:firstLineChars="200"/>
        <w:outlineLvl w:val="0"/>
        <w:rPr>
          <w:rFonts w:ascii="宋体" w:hAnsi="宋体" w:eastAsia="宋体"/>
          <w:sz w:val="24"/>
          <w:szCs w:val="24"/>
        </w:rPr>
      </w:pPr>
      <w:bookmarkStart w:id="35" w:name="_Toc20480"/>
      <w:r>
        <w:rPr>
          <w:rFonts w:hint="eastAsia" w:ascii="宋体" w:hAnsi="宋体" w:eastAsia="宋体"/>
          <w:sz w:val="24"/>
          <w:szCs w:val="24"/>
        </w:rPr>
        <w:t>(4) 与本标段的其他投标人存在控股、管理关系：</w:t>
      </w:r>
      <w:bookmarkEnd w:id="35"/>
    </w:p>
    <w:p>
      <w:pPr>
        <w:spacing w:line="360" w:lineRule="auto"/>
        <w:ind w:firstLine="480" w:firstLineChars="200"/>
        <w:outlineLvl w:val="0"/>
        <w:rPr>
          <w:rFonts w:ascii="宋体" w:hAnsi="宋体" w:eastAsia="宋体"/>
          <w:sz w:val="24"/>
          <w:szCs w:val="24"/>
        </w:rPr>
      </w:pPr>
      <w:bookmarkStart w:id="36" w:name="_Toc15171"/>
      <w:r>
        <w:rPr>
          <w:rFonts w:hint="eastAsia" w:ascii="宋体" w:hAnsi="宋体" w:eastAsia="宋体"/>
          <w:sz w:val="24"/>
          <w:szCs w:val="24"/>
        </w:rPr>
        <w:t>(5)  为本标段的代建人；</w:t>
      </w:r>
      <w:bookmarkEnd w:id="36"/>
    </w:p>
    <w:p>
      <w:pPr>
        <w:spacing w:line="360" w:lineRule="auto"/>
        <w:ind w:firstLine="480" w:firstLineChars="200"/>
        <w:outlineLvl w:val="0"/>
        <w:rPr>
          <w:rFonts w:ascii="宋体" w:hAnsi="宋体" w:eastAsia="宋体"/>
          <w:sz w:val="24"/>
          <w:szCs w:val="24"/>
        </w:rPr>
      </w:pPr>
      <w:bookmarkStart w:id="37" w:name="_Toc28122"/>
      <w:r>
        <w:rPr>
          <w:rFonts w:hint="eastAsia" w:ascii="宋体" w:hAnsi="宋体" w:eastAsia="宋体"/>
          <w:sz w:val="24"/>
          <w:szCs w:val="24"/>
        </w:rPr>
        <w:t>(6) 为本标段的招标代理机构：</w:t>
      </w:r>
      <w:bookmarkEnd w:id="37"/>
    </w:p>
    <w:p>
      <w:pPr>
        <w:spacing w:line="360" w:lineRule="auto"/>
        <w:ind w:firstLine="480" w:firstLineChars="200"/>
        <w:outlineLvl w:val="0"/>
        <w:rPr>
          <w:rFonts w:ascii="宋体" w:hAnsi="宋体" w:eastAsia="宋体"/>
          <w:sz w:val="24"/>
          <w:szCs w:val="24"/>
        </w:rPr>
      </w:pPr>
      <w:bookmarkStart w:id="38" w:name="_Toc22946"/>
      <w:r>
        <w:rPr>
          <w:rFonts w:hint="eastAsia" w:ascii="宋体" w:hAnsi="宋体" w:eastAsia="宋体"/>
          <w:sz w:val="24"/>
          <w:szCs w:val="24"/>
        </w:rPr>
        <w:t>(7) 与本标段的代建人或招标代理机构同为一个法定代表人：</w:t>
      </w:r>
      <w:bookmarkEnd w:id="38"/>
    </w:p>
    <w:p>
      <w:pPr>
        <w:spacing w:line="360" w:lineRule="auto"/>
        <w:ind w:firstLine="480" w:firstLineChars="200"/>
        <w:outlineLvl w:val="0"/>
        <w:rPr>
          <w:rFonts w:ascii="宋体" w:hAnsi="宋体" w:eastAsia="宋体"/>
          <w:sz w:val="24"/>
          <w:szCs w:val="24"/>
        </w:rPr>
      </w:pPr>
      <w:bookmarkStart w:id="39" w:name="_Toc10639"/>
      <w:r>
        <w:rPr>
          <w:rFonts w:hint="eastAsia" w:ascii="宋体" w:hAnsi="宋体" w:eastAsia="宋体"/>
          <w:sz w:val="24"/>
          <w:szCs w:val="24"/>
        </w:rPr>
        <w:t>(8) 与本标段的代建人或招标代理机构存在控股或参股关系：</w:t>
      </w:r>
      <w:bookmarkEnd w:id="39"/>
    </w:p>
    <w:p>
      <w:pPr>
        <w:spacing w:line="360" w:lineRule="auto"/>
        <w:ind w:firstLine="480" w:firstLineChars="200"/>
        <w:outlineLvl w:val="0"/>
        <w:rPr>
          <w:rFonts w:ascii="宋体" w:hAnsi="宋体" w:eastAsia="宋体"/>
          <w:sz w:val="24"/>
          <w:szCs w:val="24"/>
        </w:rPr>
      </w:pPr>
      <w:bookmarkStart w:id="40" w:name="_Toc26156"/>
      <w:r>
        <w:rPr>
          <w:rFonts w:hint="eastAsia" w:ascii="宋体" w:hAnsi="宋体" w:eastAsia="宋体"/>
          <w:sz w:val="24"/>
          <w:szCs w:val="24"/>
        </w:rPr>
        <w:t>(9) 与本标段对应工程的施工承包人以及建筑材料、建筑构配件和设备供应商有隶属关系或其他利害关系；</w:t>
      </w:r>
      <w:bookmarkEnd w:id="40"/>
    </w:p>
    <w:p>
      <w:pPr>
        <w:spacing w:line="360" w:lineRule="auto"/>
        <w:ind w:firstLine="480" w:firstLineChars="200"/>
        <w:outlineLvl w:val="0"/>
        <w:rPr>
          <w:rFonts w:ascii="宋体" w:hAnsi="宋体" w:eastAsia="宋体"/>
          <w:sz w:val="24"/>
          <w:szCs w:val="24"/>
        </w:rPr>
      </w:pPr>
      <w:bookmarkStart w:id="41" w:name="_Toc14487"/>
      <w:r>
        <w:rPr>
          <w:rFonts w:hint="eastAsia" w:ascii="宋体" w:hAnsi="宋体" w:eastAsia="宋体"/>
          <w:sz w:val="24"/>
          <w:szCs w:val="24"/>
        </w:rPr>
        <w:t>(10) 法律法规或投标人须知前附表规定的其他情形。</w:t>
      </w:r>
      <w:bookmarkEnd w:id="41"/>
    </w:p>
    <w:p>
      <w:pPr>
        <w:spacing w:line="360" w:lineRule="auto"/>
        <w:ind w:firstLine="480" w:firstLineChars="200"/>
        <w:outlineLvl w:val="0"/>
        <w:rPr>
          <w:rFonts w:ascii="宋体" w:hAnsi="宋体" w:eastAsia="宋体"/>
          <w:sz w:val="24"/>
          <w:szCs w:val="24"/>
        </w:rPr>
      </w:pPr>
      <w:bookmarkStart w:id="42" w:name="_Toc16447"/>
      <w:r>
        <w:rPr>
          <w:rFonts w:hint="eastAsia" w:ascii="宋体" w:hAnsi="宋体" w:eastAsia="宋体"/>
          <w:sz w:val="24"/>
          <w:szCs w:val="24"/>
        </w:rPr>
        <w:t>1.4.4 投标人（包括联合体各成员）不得存在下列不良状况或不良信用记录：</w:t>
      </w:r>
      <w:bookmarkEnd w:id="42"/>
    </w:p>
    <w:p>
      <w:pPr>
        <w:spacing w:line="360" w:lineRule="auto"/>
        <w:ind w:firstLine="480" w:firstLineChars="200"/>
        <w:outlineLvl w:val="0"/>
        <w:rPr>
          <w:rFonts w:ascii="宋体" w:hAnsi="宋体" w:eastAsia="宋体"/>
          <w:sz w:val="24"/>
          <w:szCs w:val="24"/>
        </w:rPr>
      </w:pPr>
      <w:bookmarkStart w:id="43" w:name="_Toc9596"/>
      <w:r>
        <w:rPr>
          <w:rFonts w:hint="eastAsia" w:ascii="宋体" w:hAnsi="宋体" w:eastAsia="宋体"/>
          <w:sz w:val="24"/>
          <w:szCs w:val="24"/>
        </w:rPr>
        <w:t>(1) 被省级及以上交通运输主管部门取消招标项目所在地的投标资格且处于有效期内；</w:t>
      </w:r>
      <w:bookmarkEnd w:id="43"/>
    </w:p>
    <w:p>
      <w:pPr>
        <w:spacing w:line="360" w:lineRule="auto"/>
        <w:ind w:firstLine="480" w:firstLineChars="200"/>
        <w:outlineLvl w:val="0"/>
        <w:rPr>
          <w:rFonts w:ascii="宋体" w:hAnsi="宋体" w:eastAsia="宋体"/>
          <w:sz w:val="24"/>
          <w:szCs w:val="24"/>
        </w:rPr>
      </w:pPr>
      <w:bookmarkStart w:id="44" w:name="_Toc22106"/>
      <w:r>
        <w:rPr>
          <w:rFonts w:hint="eastAsia" w:ascii="宋体" w:hAnsi="宋体" w:eastAsia="宋体"/>
          <w:sz w:val="24"/>
          <w:szCs w:val="24"/>
        </w:rPr>
        <w:t>(2) 被责令停业，暂扣或吊销执照，或吊销资质证书；</w:t>
      </w:r>
      <w:bookmarkEnd w:id="44"/>
    </w:p>
    <w:p>
      <w:pPr>
        <w:spacing w:line="360" w:lineRule="auto"/>
        <w:ind w:firstLine="480" w:firstLineChars="200"/>
        <w:outlineLvl w:val="0"/>
        <w:rPr>
          <w:rFonts w:ascii="宋体" w:hAnsi="宋体" w:eastAsia="宋体"/>
          <w:sz w:val="24"/>
          <w:szCs w:val="24"/>
        </w:rPr>
      </w:pPr>
      <w:bookmarkStart w:id="45" w:name="_Toc25199"/>
      <w:r>
        <w:rPr>
          <w:rFonts w:hint="eastAsia" w:ascii="宋体" w:hAnsi="宋体" w:eastAsia="宋体"/>
          <w:sz w:val="24"/>
          <w:szCs w:val="24"/>
        </w:rPr>
        <w:t>(3) 进入清算程序，或被宣告破产，或其他丧失履约能力的情形；</w:t>
      </w:r>
      <w:bookmarkEnd w:id="45"/>
    </w:p>
    <w:p>
      <w:pPr>
        <w:spacing w:line="360" w:lineRule="auto"/>
        <w:ind w:firstLine="480" w:firstLineChars="200"/>
        <w:outlineLvl w:val="0"/>
        <w:rPr>
          <w:rFonts w:ascii="宋体" w:hAnsi="宋体" w:eastAsia="宋体"/>
          <w:sz w:val="24"/>
          <w:szCs w:val="24"/>
        </w:rPr>
      </w:pPr>
      <w:bookmarkStart w:id="46" w:name="_Toc24784"/>
      <w:r>
        <w:rPr>
          <w:rFonts w:hint="eastAsia" w:ascii="宋体" w:hAnsi="宋体" w:eastAsia="宋体"/>
          <w:sz w:val="24"/>
          <w:szCs w:val="24"/>
        </w:rPr>
        <w:t>(4) 在国家企业信用信息公示系统（http：//</w:t>
      </w:r>
      <w:r>
        <w:fldChar w:fldCharType="begin"/>
      </w:r>
      <w:r>
        <w:instrText xml:space="preserve"> HYPERLINK "http://www.gsxt.gov.cn/" \h </w:instrText>
      </w:r>
      <w:r>
        <w:fldChar w:fldCharType="separate"/>
      </w:r>
      <w:r>
        <w:rPr>
          <w:rFonts w:hint="eastAsia" w:ascii="宋体" w:hAnsi="宋体" w:eastAsia="宋体"/>
          <w:sz w:val="24"/>
          <w:szCs w:val="24"/>
        </w:rPr>
        <w:t>www.gsxt.gov.cn/</w:t>
      </w:r>
      <w:r>
        <w:rPr>
          <w:rFonts w:hint="eastAsia" w:ascii="宋体" w:hAnsi="宋体" w:eastAsia="宋体"/>
          <w:sz w:val="24"/>
          <w:szCs w:val="24"/>
        </w:rPr>
        <w:fldChar w:fldCharType="end"/>
      </w:r>
      <w:r>
        <w:rPr>
          <w:rFonts w:hint="eastAsia" w:ascii="宋体" w:hAnsi="宋体" w:eastAsia="宋体"/>
          <w:sz w:val="24"/>
          <w:szCs w:val="24"/>
        </w:rPr>
        <w:t xml:space="preserve"> ）中被列入严重违法失信企业名单；</w:t>
      </w:r>
      <w:bookmarkEnd w:id="46"/>
    </w:p>
    <w:p>
      <w:pPr>
        <w:spacing w:line="360" w:lineRule="auto"/>
        <w:ind w:firstLine="480" w:firstLineChars="200"/>
        <w:outlineLvl w:val="0"/>
        <w:rPr>
          <w:rFonts w:ascii="宋体" w:hAnsi="宋体" w:eastAsia="宋体"/>
          <w:sz w:val="24"/>
          <w:szCs w:val="24"/>
        </w:rPr>
      </w:pPr>
      <w:bookmarkStart w:id="47" w:name="_Toc16830"/>
      <w:r>
        <w:rPr>
          <w:rFonts w:hint="eastAsia" w:ascii="宋体" w:hAnsi="宋体" w:eastAsia="宋体"/>
          <w:sz w:val="24"/>
          <w:szCs w:val="24"/>
        </w:rPr>
        <w:t>(5) 在 “信用中国” 网站（ http ://</w:t>
      </w:r>
      <w:r>
        <w:fldChar w:fldCharType="begin"/>
      </w:r>
      <w:r>
        <w:instrText xml:space="preserve"> HYPERLINK "http://www.creditchina.gov.cn/" \h </w:instrText>
      </w:r>
      <w:r>
        <w:fldChar w:fldCharType="separate"/>
      </w:r>
      <w:r>
        <w:rPr>
          <w:rFonts w:hint="eastAsia" w:ascii="宋体" w:hAnsi="宋体" w:eastAsia="宋体"/>
          <w:sz w:val="24"/>
          <w:szCs w:val="24"/>
        </w:rPr>
        <w:t>www.creditchina.gov.cn</w:t>
      </w:r>
      <w:r>
        <w:rPr>
          <w:rFonts w:hint="eastAsia" w:ascii="宋体" w:hAnsi="宋体" w:eastAsia="宋体"/>
          <w:sz w:val="24"/>
          <w:szCs w:val="24"/>
        </w:rPr>
        <w:fldChar w:fldCharType="end"/>
      </w:r>
      <w:r>
        <w:rPr>
          <w:rFonts w:hint="eastAsia" w:ascii="宋体" w:hAnsi="宋体" w:eastAsia="宋体"/>
          <w:sz w:val="24"/>
          <w:szCs w:val="24"/>
        </w:rPr>
        <w:t>／）中被列入失信被执行人名单；</w:t>
      </w:r>
      <w:bookmarkEnd w:id="47"/>
    </w:p>
    <w:p>
      <w:pPr>
        <w:spacing w:line="360" w:lineRule="auto"/>
        <w:ind w:firstLine="480" w:firstLineChars="200"/>
        <w:outlineLvl w:val="0"/>
        <w:rPr>
          <w:rFonts w:ascii="宋体" w:hAnsi="宋体" w:eastAsia="宋体"/>
          <w:sz w:val="24"/>
          <w:szCs w:val="24"/>
        </w:rPr>
      </w:pPr>
      <w:bookmarkStart w:id="48" w:name="_Toc32501"/>
      <w:r>
        <w:rPr>
          <w:rFonts w:hint="eastAsia" w:ascii="宋体" w:hAnsi="宋体" w:eastAsia="宋体"/>
          <w:sz w:val="24"/>
          <w:szCs w:val="24"/>
        </w:rPr>
        <w:t>（6）法律法规或投标人须知前附表规定的其他情形 。</w:t>
      </w:r>
      <w:bookmarkEnd w:id="48"/>
    </w:p>
    <w:p>
      <w:pPr>
        <w:spacing w:line="360" w:lineRule="auto"/>
        <w:outlineLvl w:val="0"/>
        <w:rPr>
          <w:rFonts w:ascii="宋体" w:hAnsi="宋体" w:eastAsia="宋体"/>
          <w:b/>
          <w:sz w:val="24"/>
          <w:szCs w:val="24"/>
        </w:rPr>
      </w:pPr>
      <w:bookmarkStart w:id="49" w:name="page21"/>
      <w:bookmarkEnd w:id="49"/>
      <w:bookmarkStart w:id="50" w:name="_Toc2747"/>
      <w:r>
        <w:rPr>
          <w:rFonts w:ascii="宋体" w:hAnsi="宋体" w:eastAsia="宋体"/>
          <w:b/>
          <w:sz w:val="24"/>
          <w:szCs w:val="24"/>
        </w:rPr>
        <w:t>1.5 费用承担</w:t>
      </w:r>
      <w:bookmarkEnd w:id="50"/>
    </w:p>
    <w:p>
      <w:pPr>
        <w:spacing w:line="360" w:lineRule="auto"/>
        <w:ind w:firstLine="480" w:firstLineChars="200"/>
        <w:outlineLvl w:val="0"/>
        <w:rPr>
          <w:rFonts w:ascii="宋体" w:hAnsi="宋体" w:eastAsia="宋体"/>
          <w:sz w:val="24"/>
          <w:szCs w:val="24"/>
        </w:rPr>
      </w:pPr>
      <w:bookmarkStart w:id="51" w:name="_Toc13020"/>
      <w:r>
        <w:rPr>
          <w:rFonts w:ascii="宋体" w:hAnsi="宋体" w:eastAsia="宋体"/>
          <w:sz w:val="24"/>
          <w:szCs w:val="24"/>
        </w:rPr>
        <w:t>供应商准备和参加</w:t>
      </w:r>
      <w:r>
        <w:rPr>
          <w:rFonts w:hint="eastAsia" w:ascii="宋体" w:hAnsi="宋体" w:eastAsia="宋体"/>
          <w:sz w:val="24"/>
          <w:szCs w:val="24"/>
        </w:rPr>
        <w:t>采购</w:t>
      </w:r>
      <w:r>
        <w:rPr>
          <w:rFonts w:ascii="宋体" w:hAnsi="宋体" w:eastAsia="宋体"/>
          <w:sz w:val="24"/>
          <w:szCs w:val="24"/>
        </w:rPr>
        <w:t>活动发生的费用自理。</w:t>
      </w:r>
      <w:bookmarkEnd w:id="51"/>
    </w:p>
    <w:p>
      <w:pPr>
        <w:spacing w:line="360" w:lineRule="auto"/>
        <w:outlineLvl w:val="0"/>
        <w:rPr>
          <w:rFonts w:ascii="宋体" w:hAnsi="宋体" w:eastAsia="宋体"/>
          <w:b/>
          <w:sz w:val="24"/>
          <w:szCs w:val="24"/>
        </w:rPr>
      </w:pPr>
      <w:bookmarkStart w:id="52" w:name="_Toc22287"/>
      <w:r>
        <w:rPr>
          <w:rFonts w:ascii="宋体" w:hAnsi="宋体" w:eastAsia="宋体"/>
          <w:b/>
          <w:sz w:val="24"/>
          <w:szCs w:val="24"/>
        </w:rPr>
        <w:t>1.6 保密</w:t>
      </w:r>
      <w:bookmarkEnd w:id="52"/>
    </w:p>
    <w:p>
      <w:pPr>
        <w:spacing w:line="360" w:lineRule="auto"/>
        <w:ind w:firstLine="480" w:firstLineChars="200"/>
        <w:outlineLvl w:val="0"/>
        <w:rPr>
          <w:rFonts w:ascii="宋体" w:hAnsi="宋体" w:eastAsia="宋体"/>
          <w:sz w:val="24"/>
          <w:szCs w:val="24"/>
        </w:rPr>
      </w:pPr>
      <w:bookmarkStart w:id="53" w:name="_Toc22496"/>
      <w:r>
        <w:rPr>
          <w:rFonts w:ascii="宋体" w:hAnsi="宋体" w:eastAsia="宋体"/>
          <w:sz w:val="24"/>
          <w:szCs w:val="24"/>
        </w:rPr>
        <w:t>参与</w:t>
      </w:r>
      <w:r>
        <w:rPr>
          <w:rFonts w:hint="eastAsia" w:ascii="宋体" w:hAnsi="宋体" w:eastAsia="宋体"/>
          <w:sz w:val="24"/>
          <w:szCs w:val="24"/>
        </w:rPr>
        <w:t>采购</w:t>
      </w:r>
      <w:r>
        <w:rPr>
          <w:rFonts w:ascii="宋体" w:hAnsi="宋体" w:eastAsia="宋体"/>
          <w:sz w:val="24"/>
          <w:szCs w:val="24"/>
        </w:rPr>
        <w:t>活动的各方应对磋商文件和响应文件中的商业和技术等秘密保密，否则应承担相应的法律责任。</w:t>
      </w:r>
      <w:bookmarkEnd w:id="53"/>
    </w:p>
    <w:p>
      <w:pPr>
        <w:spacing w:line="360" w:lineRule="auto"/>
        <w:outlineLvl w:val="0"/>
        <w:rPr>
          <w:rFonts w:ascii="宋体" w:hAnsi="宋体" w:eastAsia="宋体"/>
          <w:b/>
          <w:sz w:val="24"/>
          <w:szCs w:val="24"/>
        </w:rPr>
      </w:pPr>
      <w:bookmarkStart w:id="54" w:name="_Toc925"/>
      <w:r>
        <w:rPr>
          <w:rFonts w:ascii="宋体" w:hAnsi="宋体" w:eastAsia="宋体"/>
          <w:b/>
          <w:sz w:val="24"/>
          <w:szCs w:val="24"/>
        </w:rPr>
        <w:t>1.7 语言文字</w:t>
      </w:r>
      <w:bookmarkEnd w:id="54"/>
    </w:p>
    <w:p>
      <w:pPr>
        <w:spacing w:line="360" w:lineRule="auto"/>
        <w:ind w:firstLine="480" w:firstLineChars="200"/>
        <w:outlineLvl w:val="0"/>
        <w:rPr>
          <w:rFonts w:ascii="宋体" w:hAnsi="宋体" w:eastAsia="宋体"/>
          <w:sz w:val="24"/>
          <w:szCs w:val="24"/>
        </w:rPr>
      </w:pPr>
      <w:bookmarkStart w:id="55" w:name="_Toc21129"/>
      <w:r>
        <w:rPr>
          <w:rFonts w:hint="eastAsia" w:ascii="宋体" w:hAnsi="宋体" w:eastAsia="宋体"/>
          <w:sz w:val="24"/>
          <w:szCs w:val="24"/>
        </w:rPr>
        <w:t>磋商</w:t>
      </w:r>
      <w:r>
        <w:rPr>
          <w:rFonts w:ascii="宋体" w:hAnsi="宋体" w:eastAsia="宋体"/>
          <w:sz w:val="24"/>
          <w:szCs w:val="24"/>
        </w:rPr>
        <w:t>文件</w:t>
      </w:r>
      <w:r>
        <w:rPr>
          <w:rFonts w:hint="eastAsia" w:ascii="宋体" w:hAnsi="宋体" w:eastAsia="宋体"/>
          <w:sz w:val="24"/>
          <w:szCs w:val="24"/>
        </w:rPr>
        <w:t>、响应文件</w:t>
      </w:r>
      <w:r>
        <w:rPr>
          <w:rFonts w:ascii="宋体" w:hAnsi="宋体" w:eastAsia="宋体"/>
          <w:sz w:val="24"/>
          <w:szCs w:val="24"/>
        </w:rPr>
        <w:t>使用的语言文字为中文。专用术语使用外文的，应附有中文注释。</w:t>
      </w:r>
      <w:bookmarkEnd w:id="55"/>
    </w:p>
    <w:p>
      <w:pPr>
        <w:spacing w:line="360" w:lineRule="auto"/>
        <w:outlineLvl w:val="0"/>
        <w:rPr>
          <w:rFonts w:ascii="宋体" w:hAnsi="宋体" w:eastAsia="宋体"/>
          <w:b/>
          <w:sz w:val="24"/>
          <w:szCs w:val="24"/>
        </w:rPr>
      </w:pPr>
      <w:bookmarkStart w:id="56" w:name="_Toc6478"/>
      <w:r>
        <w:rPr>
          <w:rFonts w:ascii="宋体" w:hAnsi="宋体" w:eastAsia="宋体"/>
          <w:b/>
          <w:sz w:val="24"/>
          <w:szCs w:val="24"/>
        </w:rPr>
        <w:t>1.8 计量单位</w:t>
      </w:r>
      <w:bookmarkEnd w:id="56"/>
    </w:p>
    <w:p>
      <w:pPr>
        <w:spacing w:line="360" w:lineRule="auto"/>
        <w:ind w:firstLine="480" w:firstLineChars="200"/>
        <w:outlineLvl w:val="0"/>
        <w:rPr>
          <w:rFonts w:ascii="宋体" w:hAnsi="宋体" w:eastAsia="宋体"/>
          <w:sz w:val="24"/>
          <w:szCs w:val="24"/>
        </w:rPr>
      </w:pPr>
      <w:bookmarkStart w:id="57" w:name="_Toc27793"/>
      <w:r>
        <w:rPr>
          <w:rFonts w:ascii="宋体" w:hAnsi="宋体" w:eastAsia="宋体"/>
          <w:sz w:val="24"/>
          <w:szCs w:val="24"/>
        </w:rPr>
        <w:t>所有计量均采用中华人民共和国法定计量单位。</w:t>
      </w:r>
      <w:bookmarkEnd w:id="57"/>
    </w:p>
    <w:p>
      <w:pPr>
        <w:spacing w:line="360" w:lineRule="auto"/>
        <w:outlineLvl w:val="0"/>
        <w:rPr>
          <w:rFonts w:ascii="宋体" w:hAnsi="宋体" w:eastAsia="宋体"/>
          <w:b/>
          <w:sz w:val="24"/>
          <w:szCs w:val="24"/>
        </w:rPr>
      </w:pPr>
      <w:bookmarkStart w:id="58" w:name="_Toc30088"/>
      <w:r>
        <w:rPr>
          <w:rFonts w:ascii="宋体" w:hAnsi="宋体" w:eastAsia="宋体"/>
          <w:b/>
          <w:sz w:val="24"/>
          <w:szCs w:val="24"/>
        </w:rPr>
        <w:t>1.9 踏勘现场</w:t>
      </w:r>
      <w:bookmarkEnd w:id="58"/>
    </w:p>
    <w:p>
      <w:pPr>
        <w:spacing w:line="360" w:lineRule="auto"/>
        <w:ind w:firstLine="480" w:firstLineChars="200"/>
        <w:outlineLvl w:val="0"/>
        <w:rPr>
          <w:rFonts w:ascii="宋体" w:hAnsi="宋体" w:eastAsia="宋体"/>
          <w:sz w:val="24"/>
          <w:szCs w:val="24"/>
        </w:rPr>
      </w:pPr>
      <w:bookmarkStart w:id="59" w:name="_Toc9744"/>
      <w:r>
        <w:rPr>
          <w:rFonts w:ascii="宋体" w:hAnsi="宋体" w:eastAsia="宋体"/>
          <w:sz w:val="24"/>
          <w:szCs w:val="24"/>
        </w:rPr>
        <w:t xml:space="preserve">1.9.1 </w:t>
      </w:r>
      <w:r>
        <w:rPr>
          <w:rFonts w:hint="eastAsia" w:ascii="宋体" w:hAnsi="宋体" w:eastAsia="宋体"/>
          <w:sz w:val="24"/>
          <w:szCs w:val="24"/>
        </w:rPr>
        <w:t>供应商</w:t>
      </w:r>
      <w:r>
        <w:rPr>
          <w:rFonts w:ascii="宋体" w:hAnsi="宋体" w:eastAsia="宋体"/>
          <w:sz w:val="24"/>
          <w:szCs w:val="24"/>
        </w:rPr>
        <w:t>须知前附表规定组织踏勘现场的，采购人按供应商须知前附表规定的时间、地点组织供应商踏勘项目现场。部分</w:t>
      </w:r>
      <w:r>
        <w:rPr>
          <w:rFonts w:hint="eastAsia" w:ascii="宋体" w:hAnsi="宋体" w:eastAsia="宋体"/>
          <w:sz w:val="24"/>
          <w:szCs w:val="24"/>
        </w:rPr>
        <w:t>供应商</w:t>
      </w:r>
      <w:r>
        <w:rPr>
          <w:rFonts w:ascii="宋体" w:hAnsi="宋体" w:eastAsia="宋体"/>
          <w:sz w:val="24"/>
          <w:szCs w:val="24"/>
        </w:rPr>
        <w:t>未按时参加踏勘现场的，不影响踏勘现场的正常进行。</w:t>
      </w:r>
      <w:bookmarkEnd w:id="59"/>
    </w:p>
    <w:p>
      <w:pPr>
        <w:spacing w:line="360" w:lineRule="auto"/>
        <w:ind w:firstLine="480" w:firstLineChars="200"/>
        <w:outlineLvl w:val="0"/>
        <w:rPr>
          <w:rFonts w:ascii="宋体" w:hAnsi="宋体" w:eastAsia="宋体"/>
          <w:sz w:val="24"/>
          <w:szCs w:val="24"/>
        </w:rPr>
      </w:pPr>
      <w:bookmarkStart w:id="60" w:name="_Toc30497"/>
      <w:r>
        <w:rPr>
          <w:rFonts w:ascii="宋体" w:hAnsi="宋体" w:eastAsia="宋体"/>
          <w:sz w:val="24"/>
          <w:szCs w:val="24"/>
        </w:rPr>
        <w:t>1.9.2 供应商踏勘现场发生的费用自理。</w:t>
      </w:r>
      <w:bookmarkEnd w:id="60"/>
    </w:p>
    <w:p>
      <w:pPr>
        <w:spacing w:line="360" w:lineRule="auto"/>
        <w:ind w:firstLine="480" w:firstLineChars="200"/>
        <w:outlineLvl w:val="0"/>
        <w:rPr>
          <w:rFonts w:ascii="宋体" w:hAnsi="宋体" w:eastAsia="宋体"/>
          <w:sz w:val="24"/>
          <w:szCs w:val="24"/>
        </w:rPr>
      </w:pPr>
      <w:bookmarkStart w:id="61" w:name="_Toc19744"/>
      <w:r>
        <w:rPr>
          <w:rFonts w:ascii="宋体" w:hAnsi="宋体" w:eastAsia="宋体"/>
          <w:sz w:val="24"/>
          <w:szCs w:val="24"/>
        </w:rPr>
        <w:t>1.9.3 除采购人的原因外，供应商自行负责在踏勘现场中所发生的人员伤亡和财产损失。</w:t>
      </w:r>
      <w:bookmarkEnd w:id="61"/>
    </w:p>
    <w:p>
      <w:pPr>
        <w:spacing w:line="360" w:lineRule="auto"/>
        <w:ind w:firstLine="480" w:firstLineChars="200"/>
        <w:outlineLvl w:val="0"/>
        <w:rPr>
          <w:rFonts w:ascii="宋体" w:hAnsi="宋体" w:eastAsia="宋体"/>
          <w:sz w:val="24"/>
          <w:szCs w:val="24"/>
        </w:rPr>
      </w:pPr>
      <w:bookmarkStart w:id="62" w:name="_Toc23554"/>
      <w:r>
        <w:rPr>
          <w:rFonts w:ascii="宋体" w:hAnsi="宋体" w:eastAsia="宋体"/>
          <w:sz w:val="24"/>
          <w:szCs w:val="24"/>
        </w:rPr>
        <w:t>1.9.4 采购人在踏勘现场中介绍的工程场地和相关的周边环境情况，供供应商在编制</w:t>
      </w:r>
      <w:r>
        <w:rPr>
          <w:rFonts w:hint="eastAsia" w:ascii="宋体" w:hAnsi="宋体" w:eastAsia="宋体"/>
          <w:sz w:val="24"/>
          <w:szCs w:val="24"/>
        </w:rPr>
        <w:t>响应</w:t>
      </w:r>
      <w:r>
        <w:rPr>
          <w:rFonts w:ascii="宋体" w:hAnsi="宋体" w:eastAsia="宋体"/>
          <w:sz w:val="24"/>
          <w:szCs w:val="24"/>
        </w:rPr>
        <w:t>文件时参考，采购人不对供应商据此作出的判断和决策负责。</w:t>
      </w:r>
      <w:bookmarkEnd w:id="62"/>
    </w:p>
    <w:p>
      <w:pPr>
        <w:spacing w:line="360" w:lineRule="auto"/>
        <w:ind w:firstLine="480" w:firstLineChars="200"/>
        <w:outlineLvl w:val="0"/>
        <w:rPr>
          <w:rFonts w:ascii="宋体" w:hAnsi="宋体" w:eastAsia="宋体"/>
          <w:sz w:val="24"/>
          <w:szCs w:val="24"/>
        </w:rPr>
      </w:pPr>
      <w:bookmarkStart w:id="63" w:name="_Toc30575"/>
      <w:r>
        <w:rPr>
          <w:rFonts w:hint="eastAsia" w:ascii="宋体" w:hAnsi="宋体" w:eastAsia="宋体"/>
          <w:sz w:val="24"/>
          <w:szCs w:val="24"/>
        </w:rPr>
        <w:t>1.9.5供应商成交后，不得以不完全了解现场情况为借口，而提出延长工期和提高工程造价等要求。</w:t>
      </w:r>
      <w:bookmarkEnd w:id="63"/>
    </w:p>
    <w:p>
      <w:pPr>
        <w:spacing w:line="360" w:lineRule="auto"/>
        <w:outlineLvl w:val="0"/>
        <w:rPr>
          <w:rFonts w:ascii="宋体" w:hAnsi="宋体" w:eastAsia="宋体"/>
          <w:b/>
          <w:sz w:val="24"/>
          <w:szCs w:val="24"/>
        </w:rPr>
      </w:pPr>
      <w:bookmarkStart w:id="64" w:name="_Toc7390"/>
      <w:r>
        <w:rPr>
          <w:rFonts w:ascii="宋体" w:hAnsi="宋体" w:eastAsia="宋体"/>
          <w:b/>
          <w:sz w:val="24"/>
          <w:szCs w:val="24"/>
        </w:rPr>
        <w:t>1.</w:t>
      </w:r>
      <w:r>
        <w:rPr>
          <w:rFonts w:hint="eastAsia" w:ascii="宋体" w:hAnsi="宋体" w:eastAsia="宋体"/>
          <w:b/>
          <w:sz w:val="24"/>
          <w:szCs w:val="24"/>
        </w:rPr>
        <w:t>10</w:t>
      </w:r>
      <w:r>
        <w:rPr>
          <w:rFonts w:ascii="宋体" w:hAnsi="宋体" w:eastAsia="宋体"/>
          <w:b/>
          <w:sz w:val="24"/>
          <w:szCs w:val="24"/>
        </w:rPr>
        <w:t xml:space="preserve"> 磋商预备会</w:t>
      </w:r>
      <w:bookmarkEnd w:id="64"/>
    </w:p>
    <w:p>
      <w:pPr>
        <w:spacing w:line="360" w:lineRule="auto"/>
        <w:ind w:firstLine="480" w:firstLineChars="200"/>
        <w:outlineLvl w:val="0"/>
        <w:rPr>
          <w:rFonts w:ascii="宋体" w:hAnsi="宋体" w:eastAsia="宋体"/>
          <w:sz w:val="24"/>
          <w:szCs w:val="24"/>
        </w:rPr>
      </w:pPr>
      <w:bookmarkStart w:id="65" w:name="_Toc5533"/>
      <w:r>
        <w:rPr>
          <w:rFonts w:ascii="宋体" w:hAnsi="宋体" w:eastAsia="宋体"/>
          <w:sz w:val="24"/>
          <w:szCs w:val="24"/>
        </w:rPr>
        <w:t>1.</w:t>
      </w:r>
      <w:r>
        <w:rPr>
          <w:rFonts w:hint="eastAsia" w:ascii="宋体" w:hAnsi="宋体" w:eastAsia="宋体"/>
          <w:sz w:val="24"/>
          <w:szCs w:val="24"/>
        </w:rPr>
        <w:t>10</w:t>
      </w:r>
      <w:r>
        <w:rPr>
          <w:rFonts w:ascii="宋体" w:hAnsi="宋体" w:eastAsia="宋体"/>
          <w:sz w:val="24"/>
          <w:szCs w:val="24"/>
        </w:rPr>
        <w:t>.1供应商须知前附表规定召开磋商预备会的，采购人按供应商须知前附表规定的时间和地点召开磋商预备会，澄清供应商提出的问题。</w:t>
      </w:r>
      <w:bookmarkEnd w:id="65"/>
    </w:p>
    <w:p>
      <w:pPr>
        <w:spacing w:line="360" w:lineRule="auto"/>
        <w:ind w:firstLine="480" w:firstLineChars="200"/>
        <w:outlineLvl w:val="0"/>
        <w:rPr>
          <w:rFonts w:ascii="宋体" w:hAnsi="宋体" w:eastAsia="宋体"/>
          <w:sz w:val="24"/>
          <w:szCs w:val="24"/>
        </w:rPr>
      </w:pPr>
      <w:bookmarkStart w:id="66" w:name="_Toc16296"/>
      <w:r>
        <w:rPr>
          <w:rFonts w:ascii="宋体" w:hAnsi="宋体" w:eastAsia="宋体"/>
          <w:sz w:val="24"/>
          <w:szCs w:val="24"/>
        </w:rPr>
        <w:t>1.</w:t>
      </w:r>
      <w:r>
        <w:rPr>
          <w:rFonts w:hint="eastAsia" w:ascii="宋体" w:hAnsi="宋体" w:eastAsia="宋体"/>
          <w:sz w:val="24"/>
          <w:szCs w:val="24"/>
        </w:rPr>
        <w:t>10</w:t>
      </w:r>
      <w:r>
        <w:rPr>
          <w:rFonts w:ascii="宋体" w:hAnsi="宋体" w:eastAsia="宋体"/>
          <w:sz w:val="24"/>
          <w:szCs w:val="24"/>
        </w:rPr>
        <w:t>.2供应商应按供应商须知前附表规定的时间和形式将提出的问题送达采购人，以便采购人在会议期间澄清。</w:t>
      </w:r>
      <w:bookmarkEnd w:id="66"/>
    </w:p>
    <w:p>
      <w:pPr>
        <w:spacing w:line="360" w:lineRule="auto"/>
        <w:ind w:firstLine="480" w:firstLineChars="200"/>
        <w:outlineLvl w:val="0"/>
        <w:rPr>
          <w:rFonts w:ascii="宋体" w:hAnsi="宋体" w:eastAsia="宋体"/>
          <w:sz w:val="24"/>
          <w:szCs w:val="24"/>
        </w:rPr>
      </w:pPr>
      <w:bookmarkStart w:id="67" w:name="_Toc22110"/>
      <w:r>
        <w:rPr>
          <w:rFonts w:ascii="宋体" w:hAnsi="宋体" w:eastAsia="宋体"/>
          <w:sz w:val="24"/>
          <w:szCs w:val="24"/>
        </w:rPr>
        <w:t>1.</w:t>
      </w:r>
      <w:r>
        <w:rPr>
          <w:rFonts w:hint="eastAsia" w:ascii="宋体" w:hAnsi="宋体" w:eastAsia="宋体"/>
          <w:sz w:val="24"/>
          <w:szCs w:val="24"/>
        </w:rPr>
        <w:t>10</w:t>
      </w:r>
      <w:r>
        <w:rPr>
          <w:rFonts w:ascii="宋体" w:hAnsi="宋体" w:eastAsia="宋体"/>
          <w:sz w:val="24"/>
          <w:szCs w:val="24"/>
        </w:rPr>
        <w:t>.3预备会后，采购人将对供应商所提问题的澄清，以供应商须知前附表规定的形式通知所有</w:t>
      </w:r>
      <w:r>
        <w:rPr>
          <w:rFonts w:hint="eastAsia" w:ascii="宋体" w:hAnsi="宋体" w:eastAsia="宋体"/>
          <w:sz w:val="24"/>
          <w:szCs w:val="24"/>
        </w:rPr>
        <w:t>获取</w:t>
      </w:r>
      <w:r>
        <w:rPr>
          <w:rFonts w:ascii="宋体" w:hAnsi="宋体" w:eastAsia="宋体"/>
          <w:sz w:val="24"/>
          <w:szCs w:val="24"/>
        </w:rPr>
        <w:t>磋商文件的供应商。该澄清内容为磋商文件的组成部分。</w:t>
      </w:r>
      <w:bookmarkEnd w:id="67"/>
    </w:p>
    <w:p>
      <w:pPr>
        <w:spacing w:line="360" w:lineRule="auto"/>
        <w:outlineLvl w:val="0"/>
        <w:rPr>
          <w:rFonts w:ascii="宋体" w:hAnsi="宋体" w:eastAsia="宋体"/>
          <w:b/>
          <w:sz w:val="24"/>
          <w:szCs w:val="24"/>
        </w:rPr>
      </w:pPr>
      <w:bookmarkStart w:id="68" w:name="_Toc7852"/>
      <w:r>
        <w:rPr>
          <w:rFonts w:ascii="宋体" w:hAnsi="宋体" w:eastAsia="宋体"/>
          <w:b/>
          <w:sz w:val="24"/>
          <w:szCs w:val="24"/>
        </w:rPr>
        <w:t>1.1</w:t>
      </w:r>
      <w:r>
        <w:rPr>
          <w:rFonts w:hint="eastAsia" w:ascii="宋体" w:hAnsi="宋体" w:eastAsia="宋体"/>
          <w:b/>
          <w:sz w:val="24"/>
          <w:szCs w:val="24"/>
        </w:rPr>
        <w:t>1</w:t>
      </w:r>
      <w:r>
        <w:rPr>
          <w:rFonts w:ascii="宋体" w:hAnsi="宋体" w:eastAsia="宋体"/>
          <w:b/>
          <w:sz w:val="24"/>
          <w:szCs w:val="24"/>
        </w:rPr>
        <w:t xml:space="preserve"> 分包</w:t>
      </w:r>
      <w:bookmarkEnd w:id="68"/>
    </w:p>
    <w:p>
      <w:pPr>
        <w:spacing w:line="360" w:lineRule="auto"/>
        <w:ind w:firstLine="480" w:firstLineChars="200"/>
        <w:outlineLvl w:val="0"/>
        <w:rPr>
          <w:rFonts w:ascii="宋体" w:hAnsi="宋体" w:eastAsia="宋体"/>
          <w:sz w:val="24"/>
          <w:szCs w:val="24"/>
        </w:rPr>
      </w:pPr>
      <w:bookmarkStart w:id="69" w:name="_Toc32679"/>
      <w:r>
        <w:rPr>
          <w:rFonts w:ascii="宋体" w:hAnsi="宋体" w:eastAsia="宋体"/>
          <w:sz w:val="24"/>
          <w:szCs w:val="24"/>
        </w:rPr>
        <w:t>1.1</w:t>
      </w:r>
      <w:r>
        <w:rPr>
          <w:rFonts w:hint="eastAsia" w:ascii="宋体" w:hAnsi="宋体" w:eastAsia="宋体"/>
          <w:sz w:val="24"/>
          <w:szCs w:val="24"/>
        </w:rPr>
        <w:t>1.</w:t>
      </w:r>
      <w:r>
        <w:rPr>
          <w:rFonts w:ascii="宋体" w:hAnsi="宋体" w:eastAsia="宋体"/>
          <w:sz w:val="24"/>
          <w:szCs w:val="24"/>
        </w:rPr>
        <w:t>1供应商拟在成交后将成交项目的非主体</w:t>
      </w:r>
      <w:r>
        <w:rPr>
          <w:rFonts w:hint="eastAsia" w:ascii="宋体" w:hAnsi="宋体" w:eastAsia="宋体"/>
          <w:sz w:val="24"/>
          <w:szCs w:val="24"/>
        </w:rPr>
        <w:t>工程</w:t>
      </w:r>
      <w:r>
        <w:rPr>
          <w:rFonts w:ascii="宋体" w:hAnsi="宋体" w:eastAsia="宋体"/>
          <w:sz w:val="24"/>
          <w:szCs w:val="24"/>
        </w:rPr>
        <w:t>进行分包的，应符合供应商须知前附表规定的分包内容、分包金额和资质要求等限制性条件，除供应商须知前附表规定的非主体</w:t>
      </w:r>
      <w:r>
        <w:rPr>
          <w:rFonts w:hint="eastAsia" w:ascii="宋体" w:hAnsi="宋体" w:eastAsia="宋体"/>
          <w:sz w:val="24"/>
          <w:szCs w:val="24"/>
        </w:rPr>
        <w:t>工程</w:t>
      </w:r>
      <w:r>
        <w:rPr>
          <w:rFonts w:ascii="宋体" w:hAnsi="宋体" w:eastAsia="宋体"/>
          <w:sz w:val="24"/>
          <w:szCs w:val="24"/>
        </w:rPr>
        <w:t>外，其他工作不得分包。</w:t>
      </w:r>
      <w:bookmarkEnd w:id="69"/>
    </w:p>
    <w:p>
      <w:pPr>
        <w:spacing w:line="360" w:lineRule="auto"/>
        <w:ind w:firstLine="480" w:firstLineChars="200"/>
        <w:outlineLvl w:val="0"/>
        <w:rPr>
          <w:rFonts w:ascii="宋体" w:hAnsi="宋体" w:eastAsia="宋体"/>
          <w:sz w:val="24"/>
          <w:szCs w:val="24"/>
        </w:rPr>
      </w:pPr>
      <w:bookmarkStart w:id="70" w:name="_Toc20851"/>
      <w:r>
        <w:rPr>
          <w:rFonts w:ascii="宋体" w:hAnsi="宋体" w:eastAsia="宋体"/>
          <w:sz w:val="24"/>
          <w:szCs w:val="24"/>
        </w:rPr>
        <w:t>1.1</w:t>
      </w:r>
      <w:r>
        <w:rPr>
          <w:rFonts w:hint="eastAsia" w:ascii="宋体" w:hAnsi="宋体" w:eastAsia="宋体"/>
          <w:sz w:val="24"/>
          <w:szCs w:val="24"/>
        </w:rPr>
        <w:t>1</w:t>
      </w:r>
      <w:r>
        <w:rPr>
          <w:rFonts w:ascii="宋体" w:hAnsi="宋体" w:eastAsia="宋体"/>
          <w:sz w:val="24"/>
          <w:szCs w:val="24"/>
        </w:rPr>
        <w:t>.2成交供应商不得向他人转让成交项目，接受分包的人不得再次分包。成交供应商应当就分包项目向采购人负责，接受分包的人就分包项目承担连带责任。</w:t>
      </w:r>
      <w:bookmarkEnd w:id="70"/>
    </w:p>
    <w:p>
      <w:pPr>
        <w:spacing w:line="360" w:lineRule="auto"/>
        <w:outlineLvl w:val="0"/>
        <w:rPr>
          <w:rFonts w:ascii="宋体" w:hAnsi="宋体" w:eastAsia="宋体"/>
          <w:b/>
          <w:sz w:val="24"/>
          <w:szCs w:val="24"/>
        </w:rPr>
      </w:pPr>
      <w:bookmarkStart w:id="71" w:name="_Toc22147"/>
      <w:r>
        <w:rPr>
          <w:rFonts w:ascii="宋体" w:hAnsi="宋体" w:eastAsia="宋体"/>
          <w:b/>
          <w:sz w:val="24"/>
          <w:szCs w:val="24"/>
        </w:rPr>
        <w:t>1.1</w:t>
      </w:r>
      <w:r>
        <w:rPr>
          <w:rFonts w:hint="eastAsia" w:ascii="宋体" w:hAnsi="宋体" w:eastAsia="宋体"/>
          <w:b/>
          <w:sz w:val="24"/>
          <w:szCs w:val="24"/>
        </w:rPr>
        <w:t>2</w:t>
      </w:r>
      <w:r>
        <w:rPr>
          <w:rFonts w:ascii="宋体" w:hAnsi="宋体" w:eastAsia="宋体"/>
          <w:b/>
          <w:sz w:val="24"/>
          <w:szCs w:val="24"/>
        </w:rPr>
        <w:t xml:space="preserve"> 响应和偏</w:t>
      </w:r>
      <w:r>
        <w:rPr>
          <w:rFonts w:hint="eastAsia" w:ascii="宋体" w:hAnsi="宋体" w:eastAsia="宋体"/>
          <w:b/>
          <w:sz w:val="24"/>
          <w:szCs w:val="24"/>
        </w:rPr>
        <w:t>离</w:t>
      </w:r>
      <w:bookmarkEnd w:id="71"/>
    </w:p>
    <w:p>
      <w:pPr>
        <w:spacing w:line="360" w:lineRule="auto"/>
        <w:ind w:firstLine="480" w:firstLineChars="200"/>
        <w:outlineLvl w:val="0"/>
        <w:rPr>
          <w:rFonts w:ascii="宋体" w:hAnsi="宋体" w:eastAsia="宋体"/>
          <w:sz w:val="24"/>
          <w:szCs w:val="24"/>
        </w:rPr>
      </w:pPr>
      <w:bookmarkStart w:id="72" w:name="_Toc3557"/>
      <w:r>
        <w:rPr>
          <w:rFonts w:ascii="宋体" w:hAnsi="宋体" w:eastAsia="宋体"/>
          <w:sz w:val="24"/>
          <w:szCs w:val="24"/>
        </w:rPr>
        <w:t>1.1</w:t>
      </w:r>
      <w:r>
        <w:rPr>
          <w:rFonts w:hint="eastAsia" w:ascii="宋体" w:hAnsi="宋体" w:eastAsia="宋体"/>
          <w:sz w:val="24"/>
          <w:szCs w:val="24"/>
        </w:rPr>
        <w:t>2</w:t>
      </w:r>
      <w:r>
        <w:rPr>
          <w:rFonts w:ascii="宋体" w:hAnsi="宋体" w:eastAsia="宋体"/>
          <w:sz w:val="24"/>
          <w:szCs w:val="24"/>
        </w:rPr>
        <w:t>.1响应文件应当对磋商文件的实质性要求和条件作出满足性或更有利于采购人的响应，</w:t>
      </w:r>
      <w:bookmarkStart w:id="73" w:name="page22"/>
      <w:bookmarkEnd w:id="73"/>
      <w:r>
        <w:rPr>
          <w:rFonts w:ascii="宋体" w:hAnsi="宋体" w:eastAsia="宋体"/>
          <w:sz w:val="24"/>
          <w:szCs w:val="24"/>
        </w:rPr>
        <w:t>否则，供应商的响应将被否决。实质性要求和条件见供应商须知前附表。</w:t>
      </w:r>
      <w:bookmarkEnd w:id="72"/>
    </w:p>
    <w:p>
      <w:pPr>
        <w:spacing w:line="360" w:lineRule="auto"/>
        <w:ind w:firstLine="480" w:firstLineChars="200"/>
        <w:outlineLvl w:val="0"/>
        <w:rPr>
          <w:rFonts w:ascii="宋体" w:hAnsi="宋体" w:eastAsia="宋体"/>
          <w:sz w:val="24"/>
          <w:szCs w:val="24"/>
        </w:rPr>
      </w:pPr>
      <w:bookmarkStart w:id="74" w:name="_Toc12858"/>
      <w:r>
        <w:rPr>
          <w:rFonts w:ascii="宋体" w:hAnsi="宋体" w:eastAsia="宋体"/>
          <w:sz w:val="24"/>
          <w:szCs w:val="24"/>
        </w:rPr>
        <w:t>1.1</w:t>
      </w:r>
      <w:r>
        <w:rPr>
          <w:rFonts w:hint="eastAsia" w:ascii="宋体" w:hAnsi="宋体" w:eastAsia="宋体"/>
          <w:sz w:val="24"/>
          <w:szCs w:val="24"/>
        </w:rPr>
        <w:t>2</w:t>
      </w:r>
      <w:r>
        <w:rPr>
          <w:rFonts w:ascii="宋体" w:hAnsi="宋体" w:eastAsia="宋体"/>
          <w:sz w:val="24"/>
          <w:szCs w:val="24"/>
        </w:rPr>
        <w:t>.2供应商须知前附表规定了可以偏</w:t>
      </w:r>
      <w:r>
        <w:rPr>
          <w:rFonts w:hint="eastAsia" w:ascii="宋体" w:hAnsi="宋体" w:eastAsia="宋体"/>
          <w:sz w:val="24"/>
          <w:szCs w:val="24"/>
        </w:rPr>
        <w:t>离</w:t>
      </w:r>
      <w:r>
        <w:rPr>
          <w:rFonts w:ascii="宋体" w:hAnsi="宋体" w:eastAsia="宋体"/>
          <w:sz w:val="24"/>
          <w:szCs w:val="24"/>
        </w:rPr>
        <w:t>的，偏</w:t>
      </w:r>
      <w:r>
        <w:rPr>
          <w:rFonts w:hint="eastAsia" w:ascii="宋体" w:hAnsi="宋体" w:eastAsia="宋体"/>
          <w:sz w:val="24"/>
          <w:szCs w:val="24"/>
        </w:rPr>
        <w:t>离</w:t>
      </w:r>
      <w:r>
        <w:rPr>
          <w:rFonts w:ascii="宋体" w:hAnsi="宋体" w:eastAsia="宋体"/>
          <w:sz w:val="24"/>
          <w:szCs w:val="24"/>
        </w:rPr>
        <w:t>应当符合供应商须知前附表规定的偏</w:t>
      </w:r>
      <w:r>
        <w:rPr>
          <w:rFonts w:hint="eastAsia" w:ascii="宋体" w:hAnsi="宋体" w:eastAsia="宋体"/>
          <w:sz w:val="24"/>
          <w:szCs w:val="24"/>
        </w:rPr>
        <w:t>离</w:t>
      </w:r>
      <w:r>
        <w:rPr>
          <w:rFonts w:ascii="宋体" w:hAnsi="宋体" w:eastAsia="宋体"/>
          <w:sz w:val="24"/>
          <w:szCs w:val="24"/>
        </w:rPr>
        <w:t>的范围和</w:t>
      </w:r>
      <w:r>
        <w:rPr>
          <w:rFonts w:hint="eastAsia" w:ascii="宋体" w:hAnsi="宋体" w:eastAsia="宋体"/>
          <w:sz w:val="24"/>
          <w:szCs w:val="24"/>
        </w:rPr>
        <w:t>幅度</w:t>
      </w:r>
      <w:r>
        <w:rPr>
          <w:rFonts w:ascii="宋体" w:hAnsi="宋体" w:eastAsia="宋体"/>
          <w:sz w:val="24"/>
          <w:szCs w:val="24"/>
        </w:rPr>
        <w:t>，超出的响应将被否决。</w:t>
      </w:r>
      <w:bookmarkEnd w:id="74"/>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2、</w:t>
      </w:r>
      <w:r>
        <w:rPr>
          <w:rFonts w:ascii="宋体" w:hAnsi="宋体" w:eastAsia="宋体" w:cs="黑体"/>
          <w:b/>
          <w:bCs/>
          <w:sz w:val="24"/>
          <w:szCs w:val="24"/>
        </w:rPr>
        <w:t>磋商文件</w:t>
      </w:r>
    </w:p>
    <w:p>
      <w:pPr>
        <w:spacing w:line="360" w:lineRule="auto"/>
        <w:outlineLvl w:val="0"/>
        <w:rPr>
          <w:rFonts w:ascii="宋体" w:hAnsi="宋体" w:eastAsia="宋体"/>
          <w:b/>
          <w:sz w:val="24"/>
          <w:szCs w:val="24"/>
        </w:rPr>
      </w:pPr>
      <w:bookmarkStart w:id="75" w:name="_Toc19259"/>
      <w:r>
        <w:rPr>
          <w:rFonts w:ascii="宋体" w:hAnsi="宋体" w:eastAsia="宋体"/>
          <w:b/>
          <w:sz w:val="24"/>
          <w:szCs w:val="24"/>
        </w:rPr>
        <w:t>2.1 磋商文件的组成</w:t>
      </w:r>
      <w:bookmarkEnd w:id="75"/>
    </w:p>
    <w:p>
      <w:pPr>
        <w:spacing w:line="360" w:lineRule="auto"/>
        <w:ind w:firstLine="480" w:firstLineChars="200"/>
        <w:outlineLvl w:val="0"/>
        <w:rPr>
          <w:rFonts w:ascii="宋体" w:hAnsi="宋体" w:eastAsia="宋体"/>
          <w:sz w:val="24"/>
          <w:szCs w:val="24"/>
        </w:rPr>
      </w:pPr>
      <w:bookmarkStart w:id="76" w:name="_Toc32233"/>
      <w:r>
        <w:rPr>
          <w:rFonts w:ascii="宋体" w:hAnsi="宋体" w:eastAsia="宋体"/>
          <w:sz w:val="24"/>
          <w:szCs w:val="24"/>
        </w:rPr>
        <w:t>本磋商文件包括：</w:t>
      </w:r>
      <w:bookmarkEnd w:id="76"/>
    </w:p>
    <w:p>
      <w:pPr>
        <w:spacing w:line="360" w:lineRule="auto"/>
        <w:ind w:firstLine="480" w:firstLineChars="200"/>
        <w:outlineLvl w:val="0"/>
        <w:rPr>
          <w:rFonts w:ascii="宋体" w:hAnsi="宋体" w:eastAsia="宋体"/>
          <w:sz w:val="24"/>
          <w:szCs w:val="24"/>
        </w:rPr>
      </w:pPr>
      <w:bookmarkStart w:id="77" w:name="_Toc32191"/>
      <w:r>
        <w:rPr>
          <w:rFonts w:ascii="宋体" w:hAnsi="宋体" w:eastAsia="宋体"/>
          <w:sz w:val="24"/>
          <w:szCs w:val="24"/>
        </w:rPr>
        <w:t>（1）采购公告；</w:t>
      </w:r>
      <w:bookmarkEnd w:id="77"/>
    </w:p>
    <w:p>
      <w:pPr>
        <w:spacing w:line="360" w:lineRule="auto"/>
        <w:ind w:firstLine="480" w:firstLineChars="200"/>
        <w:outlineLvl w:val="0"/>
        <w:rPr>
          <w:rFonts w:ascii="宋体" w:hAnsi="宋体" w:eastAsia="宋体"/>
          <w:sz w:val="24"/>
          <w:szCs w:val="24"/>
        </w:rPr>
      </w:pPr>
      <w:bookmarkStart w:id="78" w:name="_Toc17353"/>
      <w:r>
        <w:rPr>
          <w:rFonts w:ascii="宋体" w:hAnsi="宋体" w:eastAsia="宋体"/>
          <w:sz w:val="24"/>
          <w:szCs w:val="24"/>
        </w:rPr>
        <w:t>（2）供应商须知；</w:t>
      </w:r>
      <w:bookmarkEnd w:id="78"/>
    </w:p>
    <w:p>
      <w:pPr>
        <w:spacing w:line="360" w:lineRule="auto"/>
        <w:ind w:firstLine="480" w:firstLineChars="200"/>
        <w:outlineLvl w:val="0"/>
        <w:rPr>
          <w:rFonts w:ascii="宋体" w:hAnsi="宋体" w:eastAsia="宋体"/>
          <w:sz w:val="24"/>
          <w:szCs w:val="24"/>
        </w:rPr>
      </w:pPr>
      <w:bookmarkStart w:id="79" w:name="_Toc14713"/>
      <w:r>
        <w:rPr>
          <w:rFonts w:hint="eastAsia" w:ascii="宋体" w:hAnsi="宋体" w:eastAsia="宋体"/>
          <w:sz w:val="24"/>
          <w:szCs w:val="24"/>
        </w:rPr>
        <w:t>（3）</w:t>
      </w:r>
      <w:r>
        <w:rPr>
          <w:rFonts w:ascii="宋体" w:hAnsi="宋体" w:eastAsia="宋体"/>
          <w:sz w:val="24"/>
          <w:szCs w:val="24"/>
        </w:rPr>
        <w:t>评审办法；</w:t>
      </w:r>
      <w:bookmarkEnd w:id="79"/>
    </w:p>
    <w:p>
      <w:pPr>
        <w:spacing w:line="360" w:lineRule="auto"/>
        <w:ind w:firstLine="480" w:firstLineChars="200"/>
        <w:outlineLvl w:val="0"/>
        <w:rPr>
          <w:rFonts w:ascii="宋体" w:hAnsi="宋体" w:eastAsia="宋体"/>
          <w:sz w:val="24"/>
          <w:szCs w:val="24"/>
        </w:rPr>
      </w:pPr>
      <w:bookmarkStart w:id="80" w:name="_Toc30639"/>
      <w:r>
        <w:rPr>
          <w:rFonts w:ascii="宋体" w:hAnsi="宋体" w:eastAsia="宋体"/>
          <w:sz w:val="24"/>
          <w:szCs w:val="24"/>
        </w:rPr>
        <w:t>（</w:t>
      </w:r>
      <w:r>
        <w:rPr>
          <w:rFonts w:hint="eastAsia" w:ascii="宋体" w:hAnsi="宋体" w:eastAsia="宋体"/>
          <w:sz w:val="24"/>
          <w:szCs w:val="24"/>
        </w:rPr>
        <w:t>4</w:t>
      </w:r>
      <w:r>
        <w:rPr>
          <w:rFonts w:ascii="宋体" w:hAnsi="宋体" w:eastAsia="宋体"/>
          <w:sz w:val="24"/>
          <w:szCs w:val="24"/>
        </w:rPr>
        <w:t>）响应文件格式；</w:t>
      </w:r>
      <w:bookmarkEnd w:id="80"/>
    </w:p>
    <w:p>
      <w:pPr>
        <w:spacing w:line="360" w:lineRule="auto"/>
        <w:ind w:firstLine="480" w:firstLineChars="200"/>
        <w:outlineLvl w:val="0"/>
        <w:rPr>
          <w:rFonts w:ascii="宋体" w:hAnsi="宋体" w:eastAsia="宋体"/>
          <w:sz w:val="24"/>
          <w:szCs w:val="24"/>
        </w:rPr>
      </w:pPr>
      <w:bookmarkStart w:id="81" w:name="_Toc15148"/>
      <w:r>
        <w:rPr>
          <w:rFonts w:hint="eastAsia" w:ascii="宋体" w:hAnsi="宋体" w:eastAsia="宋体"/>
          <w:sz w:val="24"/>
          <w:szCs w:val="24"/>
        </w:rPr>
        <w:t>（5）图纸（如有）；</w:t>
      </w:r>
      <w:bookmarkEnd w:id="81"/>
    </w:p>
    <w:p>
      <w:pPr>
        <w:spacing w:line="360" w:lineRule="auto"/>
        <w:ind w:firstLine="480" w:firstLineChars="200"/>
        <w:outlineLvl w:val="0"/>
        <w:rPr>
          <w:rFonts w:ascii="宋体" w:hAnsi="宋体" w:eastAsia="宋体"/>
          <w:sz w:val="24"/>
          <w:szCs w:val="24"/>
        </w:rPr>
      </w:pPr>
      <w:bookmarkStart w:id="82" w:name="_Toc8845"/>
      <w:r>
        <w:rPr>
          <w:rFonts w:ascii="宋体" w:hAnsi="宋体" w:eastAsia="宋体"/>
          <w:sz w:val="24"/>
          <w:szCs w:val="24"/>
        </w:rPr>
        <w:t>（</w:t>
      </w:r>
      <w:r>
        <w:rPr>
          <w:rFonts w:hint="eastAsia" w:ascii="宋体" w:hAnsi="宋体" w:eastAsia="宋体"/>
          <w:sz w:val="24"/>
          <w:szCs w:val="24"/>
        </w:rPr>
        <w:t>6</w:t>
      </w:r>
      <w:r>
        <w:rPr>
          <w:rFonts w:ascii="宋体" w:hAnsi="宋体" w:eastAsia="宋体"/>
          <w:sz w:val="24"/>
          <w:szCs w:val="24"/>
        </w:rPr>
        <w:t>）供应商须知前附表规定的其他资料。</w:t>
      </w:r>
      <w:bookmarkEnd w:id="82"/>
    </w:p>
    <w:p>
      <w:pPr>
        <w:spacing w:line="360" w:lineRule="auto"/>
        <w:ind w:firstLine="480" w:firstLineChars="200"/>
        <w:outlineLvl w:val="0"/>
        <w:rPr>
          <w:rFonts w:ascii="宋体" w:hAnsi="宋体" w:eastAsia="宋体"/>
          <w:sz w:val="24"/>
          <w:szCs w:val="24"/>
        </w:rPr>
      </w:pPr>
      <w:bookmarkStart w:id="83" w:name="_Toc4689"/>
      <w:r>
        <w:rPr>
          <w:rFonts w:ascii="宋体" w:hAnsi="宋体" w:eastAsia="宋体"/>
          <w:sz w:val="24"/>
          <w:szCs w:val="24"/>
        </w:rPr>
        <w:t>根据本章第 1.9 款、第 2.2 款和第 2.3 款对磋商文件所作的澄清、修改，构成磋商文件的组成部分。</w:t>
      </w:r>
      <w:bookmarkEnd w:id="83"/>
    </w:p>
    <w:p>
      <w:pPr>
        <w:spacing w:line="360" w:lineRule="auto"/>
        <w:outlineLvl w:val="0"/>
        <w:rPr>
          <w:rFonts w:ascii="宋体" w:hAnsi="宋体" w:eastAsia="宋体"/>
          <w:b/>
          <w:sz w:val="24"/>
          <w:szCs w:val="24"/>
        </w:rPr>
      </w:pPr>
      <w:bookmarkStart w:id="84" w:name="_Toc24317"/>
      <w:r>
        <w:rPr>
          <w:rFonts w:ascii="宋体" w:hAnsi="宋体" w:eastAsia="宋体"/>
          <w:b/>
          <w:sz w:val="24"/>
          <w:szCs w:val="24"/>
        </w:rPr>
        <w:t>2.2 磋商文件的澄清</w:t>
      </w:r>
      <w:bookmarkEnd w:id="84"/>
    </w:p>
    <w:p>
      <w:pPr>
        <w:spacing w:line="360" w:lineRule="auto"/>
        <w:ind w:firstLine="480" w:firstLineChars="200"/>
        <w:outlineLvl w:val="0"/>
        <w:rPr>
          <w:rFonts w:ascii="宋体" w:hAnsi="宋体" w:eastAsia="宋体"/>
          <w:sz w:val="24"/>
          <w:szCs w:val="24"/>
        </w:rPr>
      </w:pPr>
      <w:bookmarkStart w:id="85" w:name="_Toc15358"/>
      <w:r>
        <w:rPr>
          <w:rFonts w:ascii="宋体" w:hAnsi="宋体" w:eastAsia="宋体"/>
          <w:sz w:val="24"/>
          <w:szCs w:val="24"/>
        </w:rPr>
        <w:t>2.2.1 供应商应仔细阅读和检查磋商文件的全部内容。如发现缺页或附件不全，应及时向</w:t>
      </w:r>
      <w:r>
        <w:rPr>
          <w:rFonts w:hint="eastAsia" w:ascii="宋体" w:hAnsi="宋体" w:eastAsia="宋体"/>
          <w:sz w:val="24"/>
          <w:szCs w:val="24"/>
        </w:rPr>
        <w:t>采购代理机构</w:t>
      </w:r>
      <w:r>
        <w:rPr>
          <w:rFonts w:ascii="宋体" w:hAnsi="宋体" w:eastAsia="宋体"/>
          <w:sz w:val="24"/>
          <w:szCs w:val="24"/>
        </w:rPr>
        <w:t>提出，以便补齐。如有疑问，应按供应商须知前附表规定的时间和形式将提出的问题送达</w:t>
      </w:r>
      <w:r>
        <w:rPr>
          <w:rFonts w:hint="eastAsia" w:ascii="宋体" w:hAnsi="宋体" w:eastAsia="宋体"/>
          <w:sz w:val="24"/>
          <w:szCs w:val="24"/>
        </w:rPr>
        <w:t>采购代理机构</w:t>
      </w:r>
      <w:r>
        <w:rPr>
          <w:rFonts w:ascii="宋体" w:hAnsi="宋体" w:eastAsia="宋体"/>
          <w:sz w:val="24"/>
          <w:szCs w:val="24"/>
        </w:rPr>
        <w:t>，要求对磋商文件予以澄清。</w:t>
      </w:r>
      <w:bookmarkEnd w:id="85"/>
    </w:p>
    <w:p>
      <w:pPr>
        <w:spacing w:line="360" w:lineRule="auto"/>
        <w:ind w:firstLine="480" w:firstLineChars="200"/>
        <w:outlineLvl w:val="0"/>
        <w:rPr>
          <w:rFonts w:ascii="宋体" w:hAnsi="宋体" w:eastAsia="宋体"/>
          <w:sz w:val="24"/>
          <w:szCs w:val="24"/>
        </w:rPr>
      </w:pPr>
      <w:bookmarkStart w:id="86" w:name="_Toc22300"/>
      <w:r>
        <w:rPr>
          <w:rFonts w:ascii="宋体" w:hAnsi="宋体" w:eastAsia="宋体"/>
          <w:sz w:val="24"/>
          <w:szCs w:val="24"/>
        </w:rPr>
        <w:t>2.2.2 磋商文件的澄清以供应商须知前附表规定的形式发给所有</w:t>
      </w:r>
      <w:r>
        <w:rPr>
          <w:rFonts w:hint="eastAsia" w:ascii="宋体" w:hAnsi="宋体" w:eastAsia="宋体"/>
          <w:sz w:val="24"/>
          <w:szCs w:val="24"/>
        </w:rPr>
        <w:t>获取</w:t>
      </w:r>
      <w:r>
        <w:rPr>
          <w:rFonts w:ascii="宋体" w:hAnsi="宋体" w:eastAsia="宋体"/>
          <w:sz w:val="24"/>
          <w:szCs w:val="24"/>
        </w:rPr>
        <w:t>磋商文件的供应商，但不指明澄清问题的来源。澄清发出的时间距本章第 4.2.1 项规定的提交响应文件截止时间不足 5 日的，</w:t>
      </w:r>
      <w:bookmarkStart w:id="87" w:name="page23"/>
      <w:bookmarkEnd w:id="87"/>
      <w:r>
        <w:rPr>
          <w:rFonts w:ascii="宋体" w:hAnsi="宋体" w:eastAsia="宋体"/>
          <w:sz w:val="24"/>
          <w:szCs w:val="24"/>
        </w:rPr>
        <w:t>并且澄清内容可能影响响应文件编制的，将相应延长提交响应文件截止时间。</w:t>
      </w:r>
      <w:bookmarkEnd w:id="86"/>
    </w:p>
    <w:p>
      <w:pPr>
        <w:spacing w:line="360" w:lineRule="auto"/>
        <w:ind w:firstLine="480" w:firstLineChars="200"/>
        <w:outlineLvl w:val="0"/>
        <w:rPr>
          <w:rFonts w:ascii="宋体" w:hAnsi="宋体" w:eastAsia="宋体"/>
          <w:sz w:val="24"/>
          <w:szCs w:val="24"/>
        </w:rPr>
      </w:pPr>
      <w:bookmarkStart w:id="88" w:name="_Toc15824"/>
      <w:r>
        <w:rPr>
          <w:rFonts w:ascii="宋体" w:hAnsi="宋体" w:eastAsia="宋体"/>
          <w:sz w:val="24"/>
          <w:szCs w:val="24"/>
        </w:rPr>
        <w:t>2.2.3 供应商在收到澄清后，应按供应商须知前附表规定的时间和形式通知采购人，确认已收到该澄清。</w:t>
      </w:r>
      <w:bookmarkEnd w:id="88"/>
    </w:p>
    <w:p>
      <w:pPr>
        <w:spacing w:line="360" w:lineRule="auto"/>
        <w:ind w:firstLine="480" w:firstLineChars="200"/>
        <w:outlineLvl w:val="0"/>
        <w:rPr>
          <w:rFonts w:ascii="宋体" w:hAnsi="宋体" w:eastAsia="宋体"/>
          <w:sz w:val="24"/>
          <w:szCs w:val="24"/>
        </w:rPr>
      </w:pPr>
      <w:bookmarkStart w:id="89" w:name="_Toc13884"/>
      <w:r>
        <w:rPr>
          <w:rFonts w:ascii="宋体" w:hAnsi="宋体" w:eastAsia="宋体"/>
          <w:sz w:val="24"/>
          <w:szCs w:val="24"/>
        </w:rPr>
        <w:t>2.2.4 除非采购人认为确有必要答复，否则，采购人有权拒绝回复供应商在本章第 2.2.1 项规定的时间后的任何澄清要求。</w:t>
      </w:r>
      <w:bookmarkEnd w:id="89"/>
    </w:p>
    <w:p>
      <w:pPr>
        <w:spacing w:line="360" w:lineRule="auto"/>
        <w:outlineLvl w:val="0"/>
        <w:rPr>
          <w:rFonts w:ascii="宋体" w:hAnsi="宋体" w:eastAsia="宋体"/>
          <w:b/>
          <w:sz w:val="24"/>
          <w:szCs w:val="24"/>
        </w:rPr>
      </w:pPr>
      <w:bookmarkStart w:id="90" w:name="_Toc2383"/>
      <w:r>
        <w:rPr>
          <w:rFonts w:ascii="宋体" w:hAnsi="宋体" w:eastAsia="宋体"/>
          <w:b/>
          <w:sz w:val="24"/>
          <w:szCs w:val="24"/>
        </w:rPr>
        <w:t>2.3 磋商文件的修改</w:t>
      </w:r>
      <w:bookmarkEnd w:id="90"/>
    </w:p>
    <w:p>
      <w:pPr>
        <w:spacing w:line="360" w:lineRule="auto"/>
        <w:ind w:firstLine="480" w:firstLineChars="200"/>
        <w:outlineLvl w:val="0"/>
        <w:rPr>
          <w:rFonts w:ascii="宋体" w:hAnsi="宋体" w:eastAsia="宋体"/>
          <w:sz w:val="24"/>
          <w:szCs w:val="24"/>
        </w:rPr>
      </w:pPr>
      <w:bookmarkStart w:id="91" w:name="_Toc21821"/>
      <w:r>
        <w:rPr>
          <w:rFonts w:ascii="宋体" w:hAnsi="宋体" w:eastAsia="宋体"/>
          <w:sz w:val="24"/>
          <w:szCs w:val="24"/>
        </w:rPr>
        <w:t xml:space="preserve">2.3.1 </w:t>
      </w:r>
      <w:r>
        <w:rPr>
          <w:rFonts w:hint="eastAsia" w:ascii="宋体" w:hAnsi="宋体" w:eastAsia="宋体"/>
          <w:sz w:val="24"/>
          <w:szCs w:val="24"/>
        </w:rPr>
        <w:t>采购代理机构</w:t>
      </w:r>
      <w:r>
        <w:rPr>
          <w:rFonts w:ascii="宋体" w:hAnsi="宋体" w:eastAsia="宋体"/>
          <w:sz w:val="24"/>
          <w:szCs w:val="24"/>
        </w:rPr>
        <w:t>以供应商须知前附表规定的形式修改磋商文件，并通知所有已</w:t>
      </w:r>
      <w:r>
        <w:rPr>
          <w:rFonts w:hint="eastAsia" w:ascii="宋体" w:hAnsi="宋体" w:eastAsia="宋体"/>
          <w:sz w:val="24"/>
          <w:szCs w:val="24"/>
        </w:rPr>
        <w:t>获取</w:t>
      </w:r>
      <w:r>
        <w:rPr>
          <w:rFonts w:ascii="宋体" w:hAnsi="宋体" w:eastAsia="宋体"/>
          <w:sz w:val="24"/>
          <w:szCs w:val="24"/>
        </w:rPr>
        <w:t>磋商文件的供应商。修改磋商文件的时间距本章第 4.2.1 项规定的提交响应文件截止时间不足</w:t>
      </w:r>
      <w:r>
        <w:rPr>
          <w:rFonts w:hint="eastAsia" w:ascii="宋体" w:hAnsi="宋体" w:eastAsia="宋体"/>
          <w:sz w:val="24"/>
          <w:szCs w:val="24"/>
        </w:rPr>
        <w:t>5</w:t>
      </w:r>
      <w:r>
        <w:rPr>
          <w:rFonts w:ascii="宋体" w:hAnsi="宋体" w:eastAsia="宋体"/>
          <w:sz w:val="24"/>
          <w:szCs w:val="24"/>
        </w:rPr>
        <w:t>日的，并且修改内容可能影响响应文件编制的，将相应延长提交响应文件截止时间。</w:t>
      </w:r>
      <w:bookmarkEnd w:id="91"/>
    </w:p>
    <w:p>
      <w:pPr>
        <w:spacing w:line="360" w:lineRule="auto"/>
        <w:ind w:firstLine="480" w:firstLineChars="200"/>
        <w:outlineLvl w:val="0"/>
        <w:rPr>
          <w:rFonts w:ascii="宋体" w:hAnsi="宋体" w:eastAsia="宋体"/>
          <w:sz w:val="24"/>
          <w:szCs w:val="24"/>
        </w:rPr>
      </w:pPr>
      <w:bookmarkStart w:id="92" w:name="_Toc29554"/>
      <w:r>
        <w:rPr>
          <w:rFonts w:ascii="宋体" w:hAnsi="宋体" w:eastAsia="宋体"/>
          <w:sz w:val="24"/>
          <w:szCs w:val="24"/>
        </w:rPr>
        <w:t>2.3.2 供应商收到修改内容后，应按供应商须知前附表规定的时间和形式通知</w:t>
      </w:r>
      <w:r>
        <w:rPr>
          <w:rFonts w:hint="eastAsia" w:ascii="宋体" w:hAnsi="宋体" w:eastAsia="宋体"/>
          <w:sz w:val="24"/>
          <w:szCs w:val="24"/>
        </w:rPr>
        <w:t>采购代理机构</w:t>
      </w:r>
      <w:r>
        <w:rPr>
          <w:rFonts w:ascii="宋体" w:hAnsi="宋体" w:eastAsia="宋体"/>
          <w:sz w:val="24"/>
          <w:szCs w:val="24"/>
        </w:rPr>
        <w:t>，确认已收到该修改。</w:t>
      </w:r>
      <w:bookmarkEnd w:id="92"/>
    </w:p>
    <w:p>
      <w:pPr>
        <w:spacing w:line="360" w:lineRule="auto"/>
        <w:outlineLvl w:val="0"/>
        <w:rPr>
          <w:rFonts w:ascii="宋体" w:hAnsi="宋体" w:eastAsia="宋体"/>
          <w:b/>
          <w:sz w:val="24"/>
          <w:szCs w:val="24"/>
        </w:rPr>
      </w:pPr>
      <w:bookmarkStart w:id="93" w:name="_Toc24199"/>
      <w:r>
        <w:rPr>
          <w:rFonts w:ascii="宋体" w:hAnsi="宋体" w:eastAsia="宋体"/>
          <w:b/>
          <w:sz w:val="24"/>
          <w:szCs w:val="24"/>
        </w:rPr>
        <w:t>2.4 磋商文件的异议</w:t>
      </w:r>
      <w:bookmarkEnd w:id="93"/>
    </w:p>
    <w:p>
      <w:pPr>
        <w:spacing w:line="360" w:lineRule="auto"/>
        <w:ind w:firstLine="480" w:firstLineChars="200"/>
        <w:outlineLvl w:val="0"/>
        <w:rPr>
          <w:rFonts w:ascii="宋体" w:hAnsi="宋体" w:eastAsia="宋体"/>
          <w:sz w:val="24"/>
          <w:szCs w:val="24"/>
        </w:rPr>
      </w:pPr>
      <w:bookmarkStart w:id="94" w:name="_Toc10528"/>
      <w:r>
        <w:rPr>
          <w:rFonts w:ascii="宋体" w:hAnsi="宋体" w:eastAsia="宋体"/>
          <w:sz w:val="24"/>
          <w:szCs w:val="24"/>
        </w:rPr>
        <w:t>供应商或者其他利害关系人对磋商文件有</w:t>
      </w:r>
      <w:r>
        <w:rPr>
          <w:rFonts w:hint="eastAsia" w:ascii="宋体" w:hAnsi="宋体" w:eastAsia="宋体"/>
          <w:sz w:val="24"/>
          <w:szCs w:val="24"/>
        </w:rPr>
        <w:t>质疑</w:t>
      </w:r>
      <w:r>
        <w:rPr>
          <w:rFonts w:ascii="宋体" w:hAnsi="宋体" w:eastAsia="宋体"/>
          <w:sz w:val="24"/>
          <w:szCs w:val="24"/>
        </w:rPr>
        <w:t xml:space="preserve">的，应当在提交响应文件截止时间 </w:t>
      </w:r>
      <w:r>
        <w:rPr>
          <w:rFonts w:hint="eastAsia" w:ascii="宋体" w:hAnsi="宋体" w:eastAsia="宋体"/>
          <w:sz w:val="24"/>
          <w:szCs w:val="24"/>
        </w:rPr>
        <w:t>5</w:t>
      </w:r>
      <w:r>
        <w:rPr>
          <w:rFonts w:ascii="宋体" w:hAnsi="宋体" w:eastAsia="宋体"/>
          <w:sz w:val="24"/>
          <w:szCs w:val="24"/>
        </w:rPr>
        <w:t xml:space="preserve"> 日前以书面形式提出。</w:t>
      </w:r>
      <w:bookmarkEnd w:id="94"/>
    </w:p>
    <w:p>
      <w:pPr>
        <w:spacing w:line="360" w:lineRule="auto"/>
        <w:outlineLvl w:val="0"/>
        <w:rPr>
          <w:rFonts w:ascii="宋体" w:hAnsi="宋体" w:eastAsia="宋体" w:cs="黑体"/>
          <w:b/>
          <w:bCs/>
          <w:sz w:val="24"/>
          <w:szCs w:val="24"/>
        </w:rPr>
      </w:pPr>
      <w:bookmarkStart w:id="95" w:name="_Toc20219"/>
      <w:r>
        <w:rPr>
          <w:rFonts w:hint="eastAsia" w:ascii="宋体" w:hAnsi="宋体" w:eastAsia="宋体" w:cs="黑体"/>
          <w:b/>
          <w:bCs/>
          <w:sz w:val="24"/>
          <w:szCs w:val="24"/>
        </w:rPr>
        <w:t>3、</w:t>
      </w:r>
      <w:r>
        <w:rPr>
          <w:rFonts w:ascii="宋体" w:hAnsi="宋体" w:eastAsia="宋体" w:cs="黑体"/>
          <w:b/>
          <w:bCs/>
          <w:sz w:val="24"/>
          <w:szCs w:val="24"/>
        </w:rPr>
        <w:t>响应文件</w:t>
      </w:r>
      <w:bookmarkEnd w:id="95"/>
    </w:p>
    <w:p>
      <w:pPr>
        <w:spacing w:line="360" w:lineRule="auto"/>
        <w:outlineLvl w:val="0"/>
        <w:rPr>
          <w:rFonts w:ascii="宋体" w:hAnsi="宋体" w:eastAsia="宋体"/>
          <w:b/>
          <w:sz w:val="24"/>
          <w:szCs w:val="24"/>
        </w:rPr>
      </w:pPr>
      <w:bookmarkStart w:id="96" w:name="_Toc4327"/>
      <w:r>
        <w:rPr>
          <w:rFonts w:ascii="宋体" w:hAnsi="宋体" w:eastAsia="宋体"/>
          <w:b/>
          <w:sz w:val="24"/>
          <w:szCs w:val="24"/>
        </w:rPr>
        <w:t>3.1 响应文件的组成</w:t>
      </w:r>
      <w:bookmarkEnd w:id="96"/>
    </w:p>
    <w:p>
      <w:pPr>
        <w:spacing w:line="360" w:lineRule="auto"/>
        <w:ind w:firstLine="480" w:firstLineChars="200"/>
        <w:outlineLvl w:val="0"/>
        <w:rPr>
          <w:rFonts w:ascii="宋体" w:hAnsi="宋体" w:eastAsia="宋体"/>
          <w:sz w:val="24"/>
          <w:szCs w:val="24"/>
        </w:rPr>
      </w:pPr>
      <w:bookmarkStart w:id="97" w:name="_Toc9052"/>
      <w:r>
        <w:rPr>
          <w:rFonts w:ascii="宋体" w:hAnsi="宋体" w:eastAsia="宋体"/>
          <w:sz w:val="24"/>
          <w:szCs w:val="24"/>
        </w:rPr>
        <w:t>3.1.1 响应文件应包括下列内容</w:t>
      </w:r>
      <w:r>
        <w:rPr>
          <w:rFonts w:hint="eastAsia" w:ascii="宋体" w:hAnsi="宋体" w:eastAsia="宋体"/>
          <w:sz w:val="24"/>
          <w:szCs w:val="24"/>
        </w:rPr>
        <w:t>（详见磋商文件第六章“响应文件格式”）</w:t>
      </w:r>
      <w:r>
        <w:rPr>
          <w:rFonts w:ascii="宋体" w:hAnsi="宋体" w:eastAsia="宋体"/>
          <w:sz w:val="24"/>
          <w:szCs w:val="24"/>
        </w:rPr>
        <w:t>：</w:t>
      </w:r>
      <w:bookmarkEnd w:id="97"/>
    </w:p>
    <w:p>
      <w:pPr>
        <w:spacing w:line="360" w:lineRule="auto"/>
        <w:ind w:firstLine="470" w:firstLineChars="196"/>
        <w:outlineLvl w:val="0"/>
        <w:rPr>
          <w:rFonts w:ascii="宋体" w:hAnsi="宋体" w:eastAsia="宋体"/>
          <w:sz w:val="24"/>
          <w:szCs w:val="24"/>
        </w:rPr>
      </w:pPr>
      <w:bookmarkStart w:id="98" w:name="_Toc19264"/>
      <w:r>
        <w:rPr>
          <w:rFonts w:hint="eastAsia" w:ascii="宋体" w:hAnsi="宋体" w:eastAsia="宋体"/>
          <w:sz w:val="24"/>
          <w:szCs w:val="24"/>
        </w:rPr>
        <w:t>（1）响应函；</w:t>
      </w:r>
      <w:bookmarkEnd w:id="98"/>
    </w:p>
    <w:p>
      <w:pPr>
        <w:spacing w:line="360" w:lineRule="auto"/>
        <w:ind w:firstLine="480" w:firstLineChars="200"/>
        <w:outlineLvl w:val="0"/>
        <w:rPr>
          <w:rFonts w:ascii="宋体" w:hAnsi="宋体" w:eastAsia="宋体"/>
          <w:sz w:val="24"/>
          <w:szCs w:val="24"/>
        </w:rPr>
      </w:pPr>
      <w:bookmarkStart w:id="99" w:name="_Toc15864"/>
      <w:r>
        <w:rPr>
          <w:rFonts w:hint="eastAsia" w:ascii="宋体" w:hAnsi="宋体" w:eastAsia="宋体"/>
          <w:sz w:val="24"/>
          <w:szCs w:val="24"/>
        </w:rPr>
        <w:t>（2）开标一览表</w:t>
      </w:r>
      <w:bookmarkEnd w:id="99"/>
    </w:p>
    <w:p>
      <w:pPr>
        <w:spacing w:line="360" w:lineRule="auto"/>
        <w:ind w:firstLine="480" w:firstLineChars="200"/>
        <w:outlineLvl w:val="0"/>
        <w:rPr>
          <w:rFonts w:ascii="宋体" w:hAnsi="宋体" w:eastAsia="宋体"/>
          <w:sz w:val="24"/>
          <w:szCs w:val="24"/>
        </w:rPr>
      </w:pPr>
      <w:bookmarkStart w:id="100" w:name="_Toc19990"/>
      <w:r>
        <w:rPr>
          <w:rFonts w:hint="eastAsia" w:ascii="宋体" w:hAnsi="宋体" w:eastAsia="宋体"/>
          <w:sz w:val="24"/>
          <w:szCs w:val="24"/>
        </w:rPr>
        <w:t>（3）法定代表人身份证明及授权书；</w:t>
      </w:r>
      <w:bookmarkEnd w:id="100"/>
    </w:p>
    <w:p>
      <w:pPr>
        <w:spacing w:line="360" w:lineRule="auto"/>
        <w:ind w:firstLine="480" w:firstLineChars="200"/>
        <w:outlineLvl w:val="0"/>
        <w:rPr>
          <w:rFonts w:ascii="宋体" w:hAnsi="宋体" w:eastAsia="宋体"/>
          <w:sz w:val="24"/>
          <w:szCs w:val="24"/>
        </w:rPr>
      </w:pPr>
      <w:bookmarkStart w:id="101" w:name="_Toc11928"/>
      <w:r>
        <w:rPr>
          <w:rFonts w:hint="eastAsia" w:ascii="宋体" w:hAnsi="宋体" w:eastAsia="宋体"/>
          <w:sz w:val="24"/>
          <w:szCs w:val="24"/>
        </w:rPr>
        <w:t>（4）小微企业、残疾人福利企业、监狱企业声明函</w:t>
      </w:r>
      <w:bookmarkEnd w:id="101"/>
    </w:p>
    <w:p>
      <w:pPr>
        <w:spacing w:line="360" w:lineRule="auto"/>
        <w:ind w:firstLine="480" w:firstLineChars="200"/>
        <w:outlineLvl w:val="0"/>
        <w:rPr>
          <w:rFonts w:ascii="宋体" w:hAnsi="宋体" w:eastAsia="宋体"/>
          <w:sz w:val="24"/>
          <w:szCs w:val="24"/>
        </w:rPr>
      </w:pPr>
      <w:bookmarkStart w:id="102" w:name="_Toc15728"/>
      <w:r>
        <w:rPr>
          <w:rFonts w:hint="eastAsia" w:ascii="宋体" w:hAnsi="宋体" w:eastAsia="宋体"/>
          <w:sz w:val="24"/>
          <w:szCs w:val="24"/>
        </w:rPr>
        <w:t>（5）资格审查资料</w:t>
      </w:r>
      <w:bookmarkEnd w:id="102"/>
    </w:p>
    <w:p>
      <w:pPr>
        <w:spacing w:line="360" w:lineRule="auto"/>
        <w:ind w:firstLine="480" w:firstLineChars="200"/>
        <w:outlineLvl w:val="0"/>
        <w:rPr>
          <w:rFonts w:ascii="宋体" w:hAnsi="宋体" w:eastAsia="宋体"/>
          <w:sz w:val="24"/>
          <w:szCs w:val="24"/>
        </w:rPr>
      </w:pPr>
      <w:bookmarkStart w:id="103" w:name="_Toc5892"/>
      <w:r>
        <w:rPr>
          <w:rFonts w:hint="eastAsia" w:ascii="宋体" w:hAnsi="宋体" w:eastAsia="宋体"/>
          <w:sz w:val="24"/>
          <w:szCs w:val="24"/>
        </w:rPr>
        <w:t>（6）监理大纲；</w:t>
      </w:r>
      <w:bookmarkEnd w:id="103"/>
    </w:p>
    <w:p>
      <w:pPr>
        <w:spacing w:line="360" w:lineRule="auto"/>
        <w:ind w:firstLine="480" w:firstLineChars="200"/>
        <w:outlineLvl w:val="0"/>
        <w:rPr>
          <w:rFonts w:ascii="宋体" w:hAnsi="宋体" w:eastAsia="宋体"/>
          <w:sz w:val="24"/>
          <w:szCs w:val="24"/>
        </w:rPr>
      </w:pPr>
      <w:bookmarkStart w:id="104" w:name="_Toc29283"/>
      <w:r>
        <w:rPr>
          <w:rFonts w:hint="eastAsia" w:ascii="宋体" w:hAnsi="宋体" w:eastAsia="宋体"/>
          <w:sz w:val="24"/>
          <w:szCs w:val="24"/>
        </w:rPr>
        <w:t>（7）供应商须知前附表规定的其他资料。</w:t>
      </w:r>
      <w:bookmarkEnd w:id="104"/>
    </w:p>
    <w:p>
      <w:pPr>
        <w:spacing w:line="360" w:lineRule="auto"/>
        <w:ind w:firstLine="470" w:firstLineChars="196"/>
        <w:outlineLvl w:val="0"/>
        <w:rPr>
          <w:rFonts w:ascii="宋体" w:hAnsi="宋体" w:eastAsia="宋体"/>
          <w:sz w:val="24"/>
          <w:szCs w:val="24"/>
        </w:rPr>
      </w:pPr>
      <w:bookmarkStart w:id="105" w:name="_Toc30882"/>
      <w:r>
        <w:rPr>
          <w:rFonts w:ascii="宋体" w:hAnsi="宋体" w:eastAsia="宋体"/>
          <w:sz w:val="24"/>
          <w:szCs w:val="24"/>
        </w:rPr>
        <w:t>供应商在评审过程中作出的符合法律法规和磋商文件规定的澄清确认，构成响应文件的组成部分。</w:t>
      </w:r>
      <w:bookmarkEnd w:id="105"/>
    </w:p>
    <w:p>
      <w:pPr>
        <w:spacing w:line="360" w:lineRule="auto"/>
        <w:outlineLvl w:val="0"/>
        <w:rPr>
          <w:rFonts w:ascii="宋体" w:hAnsi="宋体" w:eastAsia="宋体"/>
          <w:b/>
          <w:sz w:val="24"/>
          <w:szCs w:val="24"/>
        </w:rPr>
      </w:pPr>
      <w:bookmarkStart w:id="106" w:name="_Toc27332"/>
      <w:r>
        <w:rPr>
          <w:rFonts w:ascii="宋体" w:hAnsi="宋体" w:eastAsia="宋体"/>
          <w:b/>
          <w:sz w:val="24"/>
          <w:szCs w:val="24"/>
        </w:rPr>
        <w:t>3.2</w:t>
      </w:r>
      <w:r>
        <w:rPr>
          <w:rFonts w:hint="eastAsia" w:ascii="宋体" w:hAnsi="宋体" w:eastAsia="宋体"/>
          <w:b/>
          <w:sz w:val="24"/>
          <w:szCs w:val="24"/>
          <w:lang w:val="en-US" w:eastAsia="zh-CN"/>
        </w:rPr>
        <w:t xml:space="preserve"> </w:t>
      </w:r>
      <w:r>
        <w:rPr>
          <w:rFonts w:ascii="宋体" w:hAnsi="宋体" w:eastAsia="宋体"/>
          <w:b/>
          <w:sz w:val="24"/>
          <w:szCs w:val="24"/>
        </w:rPr>
        <w:t>报价</w:t>
      </w:r>
      <w:bookmarkEnd w:id="106"/>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0"/>
        <w:rPr>
          <w:rFonts w:hint="eastAsia" w:ascii="宋体" w:hAnsi="宋体" w:eastAsia="宋体"/>
          <w:color w:val="auto"/>
          <w:sz w:val="24"/>
          <w:szCs w:val="24"/>
        </w:rPr>
      </w:pPr>
      <w:bookmarkStart w:id="107" w:name="_Toc23534"/>
      <w:r>
        <w:rPr>
          <w:rFonts w:hint="eastAsia" w:ascii="宋体" w:hAnsi="宋体" w:eastAsia="宋体"/>
          <w:color w:val="auto"/>
          <w:sz w:val="24"/>
          <w:szCs w:val="24"/>
        </w:rPr>
        <w:t>3.2.1</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该工程的招标控制价为总</w:t>
      </w:r>
      <w:r>
        <w:rPr>
          <w:rFonts w:hint="eastAsia" w:ascii="宋体" w:hAnsi="宋体" w:eastAsia="宋体"/>
          <w:color w:val="auto"/>
          <w:sz w:val="24"/>
          <w:szCs w:val="24"/>
          <w:lang w:eastAsia="zh-CN"/>
        </w:rPr>
        <w:t>金额</w:t>
      </w:r>
      <w:r>
        <w:rPr>
          <w:rFonts w:hint="eastAsia" w:ascii="宋体" w:hAnsi="宋体" w:eastAsia="宋体"/>
          <w:color w:val="auto"/>
          <w:sz w:val="24"/>
          <w:szCs w:val="24"/>
        </w:rPr>
        <w:t>和费率双控制（即孰低原则）。</w:t>
      </w:r>
      <w:bookmarkEnd w:id="107"/>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0"/>
        <w:rPr>
          <w:rFonts w:hint="eastAsia" w:ascii="宋体" w:hAnsi="宋体" w:eastAsia="宋体"/>
          <w:color w:val="auto"/>
          <w:sz w:val="24"/>
          <w:szCs w:val="24"/>
        </w:rPr>
      </w:pPr>
      <w:bookmarkStart w:id="108" w:name="_Toc28461"/>
      <w:r>
        <w:rPr>
          <w:rFonts w:hint="eastAsia" w:ascii="宋体" w:hAnsi="宋体" w:eastAsia="宋体"/>
          <w:color w:val="auto"/>
          <w:sz w:val="24"/>
          <w:szCs w:val="24"/>
        </w:rPr>
        <w:t>3.2.2</w:t>
      </w:r>
      <w:r>
        <w:rPr>
          <w:rFonts w:hint="eastAsia" w:ascii="宋体" w:hAnsi="宋体" w:eastAsia="宋体"/>
          <w:color w:val="auto"/>
          <w:sz w:val="24"/>
          <w:szCs w:val="24"/>
          <w:lang w:val="en-US" w:eastAsia="zh-CN"/>
        </w:rPr>
        <w:t xml:space="preserve"> </w:t>
      </w:r>
      <w:r>
        <w:rPr>
          <w:rFonts w:hint="eastAsia" w:ascii="宋体" w:hAnsi="宋体" w:eastAsia="宋体"/>
          <w:color w:val="auto"/>
          <w:sz w:val="24"/>
          <w:szCs w:val="24"/>
        </w:rPr>
        <w:t>实际的结算金额</w:t>
      </w:r>
      <w:bookmarkEnd w:id="108"/>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jc w:val="both"/>
        <w:textAlignment w:val="auto"/>
        <w:outlineLvl w:val="0"/>
        <w:rPr>
          <w:rFonts w:hint="eastAsia" w:ascii="宋体" w:hAnsi="宋体" w:eastAsia="宋体"/>
          <w:color w:val="0000FF"/>
          <w:sz w:val="24"/>
          <w:szCs w:val="24"/>
        </w:rPr>
      </w:pPr>
      <w:bookmarkStart w:id="109" w:name="_Toc2278"/>
      <w:r>
        <w:rPr>
          <w:rFonts w:hint="eastAsia" w:ascii="宋体" w:hAnsi="宋体" w:eastAsia="宋体"/>
          <w:color w:val="auto"/>
          <w:sz w:val="24"/>
          <w:szCs w:val="24"/>
        </w:rPr>
        <w:t>3.2.2.1若该</w:t>
      </w:r>
      <w:r>
        <w:rPr>
          <w:rFonts w:hint="eastAsia" w:ascii="宋体" w:hAnsi="宋体" w:eastAsia="宋体"/>
          <w:color w:val="auto"/>
          <w:sz w:val="24"/>
          <w:szCs w:val="24"/>
          <w:lang w:eastAsia="zh-CN"/>
        </w:rPr>
        <w:t>项目的</w:t>
      </w:r>
      <w:r>
        <w:rPr>
          <w:rFonts w:hint="eastAsia" w:ascii="宋体" w:hAnsi="宋体" w:eastAsia="宋体"/>
          <w:color w:val="auto"/>
          <w:sz w:val="24"/>
          <w:szCs w:val="24"/>
        </w:rPr>
        <w:t>工程</w:t>
      </w:r>
      <w:r>
        <w:rPr>
          <w:rFonts w:hint="eastAsia" w:ascii="宋体" w:hAnsi="宋体" w:eastAsia="宋体"/>
          <w:color w:val="auto"/>
          <w:sz w:val="24"/>
          <w:szCs w:val="24"/>
          <w:lang w:eastAsia="zh-CN"/>
        </w:rPr>
        <w:t>费用</w:t>
      </w:r>
      <w:r>
        <w:rPr>
          <w:rFonts w:hint="eastAsia" w:ascii="宋体" w:hAnsi="宋体" w:eastAsia="宋体"/>
          <w:color w:val="auto"/>
          <w:sz w:val="24"/>
          <w:szCs w:val="24"/>
        </w:rPr>
        <w:t>经财政评审的招标控制价乘以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费率低于</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总价，则以</w:t>
      </w:r>
      <w:r>
        <w:rPr>
          <w:rFonts w:hint="eastAsia" w:ascii="宋体" w:hAnsi="宋体" w:eastAsia="宋体"/>
          <w:color w:val="auto"/>
          <w:sz w:val="24"/>
          <w:szCs w:val="24"/>
          <w:lang w:eastAsia="zh-CN"/>
        </w:rPr>
        <w:t>项目的</w:t>
      </w:r>
      <w:r>
        <w:rPr>
          <w:rFonts w:hint="eastAsia" w:ascii="宋体" w:hAnsi="宋体" w:eastAsia="宋体"/>
          <w:color w:val="auto"/>
          <w:sz w:val="24"/>
          <w:szCs w:val="24"/>
        </w:rPr>
        <w:t>工程</w:t>
      </w:r>
      <w:r>
        <w:rPr>
          <w:rFonts w:hint="eastAsia" w:ascii="宋体" w:hAnsi="宋体" w:eastAsia="宋体"/>
          <w:color w:val="auto"/>
          <w:sz w:val="24"/>
          <w:szCs w:val="24"/>
          <w:lang w:eastAsia="zh-CN"/>
        </w:rPr>
        <w:t>费用</w:t>
      </w:r>
      <w:r>
        <w:rPr>
          <w:rFonts w:hint="eastAsia" w:ascii="宋体" w:hAnsi="宋体" w:eastAsia="宋体"/>
          <w:color w:val="auto"/>
          <w:sz w:val="24"/>
          <w:szCs w:val="24"/>
        </w:rPr>
        <w:t>经财政评审的招标控制价乘以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费率作为结算金额；若该</w:t>
      </w:r>
      <w:r>
        <w:rPr>
          <w:rFonts w:hint="eastAsia" w:ascii="宋体" w:hAnsi="宋体" w:eastAsia="宋体"/>
          <w:color w:val="auto"/>
          <w:sz w:val="24"/>
          <w:szCs w:val="24"/>
          <w:lang w:eastAsia="zh-CN"/>
        </w:rPr>
        <w:t>项目的</w:t>
      </w:r>
      <w:r>
        <w:rPr>
          <w:rFonts w:hint="eastAsia" w:ascii="宋体" w:hAnsi="宋体" w:eastAsia="宋体"/>
          <w:color w:val="auto"/>
          <w:sz w:val="24"/>
          <w:szCs w:val="24"/>
        </w:rPr>
        <w:t>工程</w:t>
      </w:r>
      <w:r>
        <w:rPr>
          <w:rFonts w:hint="eastAsia" w:ascii="宋体" w:hAnsi="宋体" w:eastAsia="宋体"/>
          <w:color w:val="auto"/>
          <w:sz w:val="24"/>
          <w:szCs w:val="24"/>
          <w:lang w:eastAsia="zh-CN"/>
        </w:rPr>
        <w:t>费用</w:t>
      </w:r>
      <w:r>
        <w:rPr>
          <w:rFonts w:hint="eastAsia" w:ascii="宋体" w:hAnsi="宋体" w:eastAsia="宋体"/>
          <w:color w:val="auto"/>
          <w:sz w:val="24"/>
          <w:szCs w:val="24"/>
        </w:rPr>
        <w:t>经财政评审的招标控制价乘以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费率高于</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总价，则以</w:t>
      </w:r>
      <w:r>
        <w:rPr>
          <w:rFonts w:hint="eastAsia" w:ascii="宋体" w:hAnsi="宋体" w:eastAsia="宋体"/>
          <w:color w:val="auto"/>
          <w:sz w:val="24"/>
          <w:szCs w:val="24"/>
          <w:lang w:eastAsia="zh-CN"/>
        </w:rPr>
        <w:t>监理成交</w:t>
      </w:r>
      <w:r>
        <w:rPr>
          <w:rFonts w:hint="eastAsia" w:ascii="宋体" w:hAnsi="宋体" w:eastAsia="宋体"/>
          <w:color w:val="auto"/>
          <w:sz w:val="24"/>
          <w:szCs w:val="24"/>
        </w:rPr>
        <w:t>总价作为结算金额。</w:t>
      </w:r>
      <w:bookmarkEnd w:id="109"/>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10" w:name="_Toc27212"/>
      <w:r>
        <w:rPr>
          <w:rFonts w:ascii="宋体" w:hAnsi="宋体" w:eastAsia="宋体"/>
          <w:color w:val="auto"/>
          <w:sz w:val="24"/>
          <w:szCs w:val="24"/>
        </w:rPr>
        <w:t>3.2.</w:t>
      </w:r>
      <w:r>
        <w:rPr>
          <w:rFonts w:hint="eastAsia" w:ascii="宋体" w:hAnsi="宋体" w:eastAsia="宋体"/>
          <w:color w:val="auto"/>
          <w:sz w:val="24"/>
          <w:szCs w:val="24"/>
          <w:lang w:val="en-US" w:eastAsia="zh-CN"/>
        </w:rPr>
        <w:t>3</w:t>
      </w:r>
      <w:r>
        <w:rPr>
          <w:rFonts w:ascii="宋体" w:hAnsi="宋体" w:eastAsia="宋体"/>
          <w:color w:val="auto"/>
          <w:sz w:val="24"/>
          <w:szCs w:val="24"/>
        </w:rPr>
        <w:t xml:space="preserve"> 报价</w:t>
      </w:r>
      <w:r>
        <w:rPr>
          <w:rFonts w:hint="eastAsia" w:ascii="宋体" w:hAnsi="宋体" w:eastAsia="宋体"/>
          <w:color w:val="auto"/>
          <w:sz w:val="24"/>
          <w:szCs w:val="24"/>
        </w:rPr>
        <w:t>涉及货币的</w:t>
      </w:r>
      <w:r>
        <w:rPr>
          <w:rFonts w:ascii="宋体" w:hAnsi="宋体" w:eastAsia="宋体"/>
          <w:color w:val="auto"/>
          <w:sz w:val="24"/>
          <w:szCs w:val="24"/>
        </w:rPr>
        <w:t>应</w:t>
      </w:r>
      <w:r>
        <w:rPr>
          <w:rFonts w:hint="eastAsia" w:ascii="宋体" w:hAnsi="宋体" w:eastAsia="宋体"/>
          <w:color w:val="auto"/>
          <w:sz w:val="24"/>
          <w:szCs w:val="24"/>
        </w:rPr>
        <w:t>为人民币，</w:t>
      </w:r>
      <w:r>
        <w:rPr>
          <w:rFonts w:ascii="宋体" w:hAnsi="宋体" w:eastAsia="宋体"/>
          <w:color w:val="auto"/>
          <w:sz w:val="24"/>
          <w:szCs w:val="24"/>
        </w:rPr>
        <w:t>包括国家规定的增值税税金。供应商应按第</w:t>
      </w:r>
      <w:r>
        <w:rPr>
          <w:rFonts w:hint="eastAsia" w:ascii="宋体" w:hAnsi="宋体" w:eastAsia="宋体"/>
          <w:color w:val="auto"/>
          <w:sz w:val="24"/>
          <w:szCs w:val="24"/>
        </w:rPr>
        <w:t>六</w:t>
      </w:r>
      <w:r>
        <w:rPr>
          <w:rFonts w:ascii="宋体" w:hAnsi="宋体" w:eastAsia="宋体"/>
          <w:color w:val="auto"/>
          <w:sz w:val="24"/>
          <w:szCs w:val="24"/>
        </w:rPr>
        <w:t>章“响应文件格式”的要求进行报价。</w:t>
      </w:r>
      <w:bookmarkEnd w:id="110"/>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11" w:name="_Toc32666"/>
      <w:r>
        <w:rPr>
          <w:rFonts w:ascii="宋体" w:hAnsi="宋体" w:eastAsia="宋体"/>
          <w:color w:val="auto"/>
          <w:sz w:val="24"/>
          <w:szCs w:val="24"/>
        </w:rPr>
        <w:t>3.2.</w:t>
      </w:r>
      <w:r>
        <w:rPr>
          <w:rFonts w:hint="eastAsia" w:ascii="宋体" w:hAnsi="宋体" w:eastAsia="宋体"/>
          <w:color w:val="auto"/>
          <w:sz w:val="24"/>
          <w:szCs w:val="24"/>
          <w:lang w:val="en-US" w:eastAsia="zh-CN"/>
        </w:rPr>
        <w:t>4</w:t>
      </w:r>
      <w:r>
        <w:rPr>
          <w:rFonts w:ascii="宋体" w:hAnsi="宋体" w:eastAsia="宋体"/>
          <w:color w:val="auto"/>
          <w:sz w:val="24"/>
          <w:szCs w:val="24"/>
        </w:rPr>
        <w:t xml:space="preserve"> 供应商应充分了解该项目的总体情况以及影响报价的其他要素。</w:t>
      </w:r>
      <w:bookmarkEnd w:id="111"/>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rPr>
          <w:rFonts w:ascii="宋体" w:hAnsi="宋体" w:eastAsia="宋体"/>
          <w:color w:val="auto"/>
          <w:sz w:val="24"/>
          <w:szCs w:val="24"/>
        </w:rPr>
      </w:pPr>
      <w:r>
        <w:rPr>
          <w:rFonts w:ascii="宋体" w:hAnsi="宋体" w:eastAsia="宋体"/>
          <w:color w:val="auto"/>
          <w:sz w:val="24"/>
          <w:szCs w:val="24"/>
        </w:rPr>
        <w:t>3.2.</w:t>
      </w:r>
      <w:r>
        <w:rPr>
          <w:rFonts w:hint="eastAsia" w:ascii="宋体" w:hAnsi="宋体" w:eastAsia="宋体"/>
          <w:color w:val="auto"/>
          <w:sz w:val="24"/>
          <w:szCs w:val="24"/>
          <w:lang w:val="en-US" w:eastAsia="zh-CN"/>
        </w:rPr>
        <w:t>5</w:t>
      </w:r>
      <w:r>
        <w:rPr>
          <w:rFonts w:hint="eastAsia" w:ascii="宋体" w:hAnsi="宋体" w:eastAsia="宋体"/>
          <w:color w:val="auto"/>
          <w:sz w:val="24"/>
          <w:szCs w:val="24"/>
        </w:rPr>
        <w:t>供应商应填写报价一览表，如果分项报价与单价不符，则以单价为准；其它表格与报价一览表不符，以报价一览表为准；小写与大写不符，以大写为准；副本与正本不符，以正本为准。</w:t>
      </w:r>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12" w:name="_Toc923"/>
      <w:r>
        <w:rPr>
          <w:rFonts w:ascii="宋体" w:hAnsi="宋体" w:eastAsia="宋体"/>
          <w:color w:val="auto"/>
          <w:sz w:val="24"/>
          <w:szCs w:val="24"/>
        </w:rPr>
        <w:t>3.2.</w:t>
      </w:r>
      <w:r>
        <w:rPr>
          <w:rFonts w:hint="eastAsia" w:ascii="宋体" w:hAnsi="宋体" w:eastAsia="宋体"/>
          <w:color w:val="auto"/>
          <w:sz w:val="24"/>
          <w:szCs w:val="24"/>
          <w:lang w:val="en-US" w:eastAsia="zh-CN"/>
        </w:rPr>
        <w:t>6</w:t>
      </w:r>
      <w:r>
        <w:rPr>
          <w:rFonts w:ascii="宋体" w:hAnsi="宋体" w:eastAsia="宋体"/>
          <w:color w:val="auto"/>
          <w:sz w:val="24"/>
          <w:szCs w:val="24"/>
        </w:rPr>
        <w:t xml:space="preserve"> 采购人设有</w:t>
      </w:r>
      <w:r>
        <w:rPr>
          <w:rFonts w:hint="eastAsia" w:ascii="宋体" w:hAnsi="宋体" w:eastAsia="宋体"/>
          <w:color w:val="auto"/>
          <w:sz w:val="24"/>
          <w:szCs w:val="24"/>
        </w:rPr>
        <w:t>预算控制金额</w:t>
      </w:r>
      <w:r>
        <w:rPr>
          <w:rFonts w:ascii="宋体" w:hAnsi="宋体" w:eastAsia="宋体"/>
          <w:color w:val="auto"/>
          <w:sz w:val="24"/>
          <w:szCs w:val="24"/>
        </w:rPr>
        <w:t>的，</w:t>
      </w:r>
      <w:r>
        <w:rPr>
          <w:rFonts w:hint="eastAsia" w:ascii="宋体" w:hAnsi="宋体" w:eastAsia="宋体"/>
          <w:color w:val="auto"/>
          <w:sz w:val="24"/>
          <w:szCs w:val="24"/>
        </w:rPr>
        <w:t>预算控制金额</w:t>
      </w:r>
      <w:r>
        <w:rPr>
          <w:rFonts w:ascii="宋体" w:hAnsi="宋体" w:eastAsia="宋体"/>
          <w:color w:val="auto"/>
          <w:sz w:val="24"/>
          <w:szCs w:val="24"/>
        </w:rPr>
        <w:t>在供应商须知前附表中载明。</w:t>
      </w:r>
      <w:r>
        <w:rPr>
          <w:rFonts w:hint="eastAsia" w:ascii="宋体" w:hAnsi="宋体" w:eastAsia="宋体"/>
          <w:color w:val="auto"/>
          <w:sz w:val="24"/>
          <w:szCs w:val="24"/>
        </w:rPr>
        <w:t>供应商报价超过供应商须知前附表的预算控制金额的为无效响应文件，将被否决。</w:t>
      </w:r>
      <w:bookmarkEnd w:id="112"/>
    </w:p>
    <w:p>
      <w:pPr>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auto"/>
        <w:outlineLvl w:val="0"/>
        <w:rPr>
          <w:rFonts w:ascii="宋体" w:hAnsi="宋体" w:eastAsia="宋体"/>
          <w:color w:val="auto"/>
          <w:sz w:val="24"/>
          <w:szCs w:val="24"/>
        </w:rPr>
      </w:pPr>
      <w:bookmarkStart w:id="113" w:name="_Toc6789"/>
      <w:r>
        <w:rPr>
          <w:rFonts w:ascii="宋体" w:hAnsi="宋体" w:eastAsia="宋体"/>
          <w:color w:val="auto"/>
          <w:sz w:val="24"/>
          <w:szCs w:val="24"/>
        </w:rPr>
        <w:t>3.2.</w:t>
      </w:r>
      <w:r>
        <w:rPr>
          <w:rFonts w:hint="eastAsia" w:ascii="宋体" w:hAnsi="宋体" w:eastAsia="宋体"/>
          <w:color w:val="auto"/>
          <w:sz w:val="24"/>
          <w:szCs w:val="24"/>
          <w:lang w:val="en-US" w:eastAsia="zh-CN"/>
        </w:rPr>
        <w:t>7</w:t>
      </w:r>
      <w:r>
        <w:rPr>
          <w:rFonts w:ascii="宋体" w:hAnsi="宋体" w:eastAsia="宋体"/>
          <w:color w:val="auto"/>
          <w:sz w:val="24"/>
          <w:szCs w:val="24"/>
        </w:rPr>
        <w:t xml:space="preserve"> 报价的其他要求见供应商须知前附表。</w:t>
      </w:r>
      <w:bookmarkEnd w:id="113"/>
    </w:p>
    <w:p>
      <w:pPr>
        <w:spacing w:line="360" w:lineRule="auto"/>
        <w:ind w:firstLine="482" w:firstLineChars="200"/>
        <w:outlineLvl w:val="0"/>
        <w:rPr>
          <w:rFonts w:ascii="宋体" w:hAnsi="宋体" w:eastAsia="宋体"/>
          <w:b/>
          <w:color w:val="auto"/>
          <w:sz w:val="24"/>
          <w:szCs w:val="24"/>
        </w:rPr>
      </w:pPr>
      <w:bookmarkStart w:id="114" w:name="_Toc24820"/>
      <w:r>
        <w:rPr>
          <w:rFonts w:hint="eastAsia" w:ascii="宋体" w:hAnsi="宋体" w:eastAsia="宋体"/>
          <w:b/>
          <w:color w:val="auto"/>
          <w:sz w:val="24"/>
          <w:szCs w:val="24"/>
        </w:rPr>
        <w:t>3.2.</w:t>
      </w:r>
      <w:r>
        <w:rPr>
          <w:rFonts w:hint="eastAsia" w:ascii="宋体" w:hAnsi="宋体" w:eastAsia="宋体"/>
          <w:b/>
          <w:color w:val="auto"/>
          <w:sz w:val="24"/>
          <w:szCs w:val="24"/>
          <w:lang w:val="en-US" w:eastAsia="zh-CN"/>
        </w:rPr>
        <w:t>8</w:t>
      </w:r>
      <w:r>
        <w:rPr>
          <w:rFonts w:hint="eastAsia" w:ascii="宋体" w:hAnsi="宋体" w:eastAsia="宋体"/>
          <w:b/>
          <w:color w:val="auto"/>
          <w:sz w:val="24"/>
          <w:szCs w:val="24"/>
        </w:rPr>
        <w:t>本次采购为竞争性磋商采购，允许符合要求的供应商在规定的时间提交最后报价。</w:t>
      </w:r>
      <w:bookmarkEnd w:id="114"/>
    </w:p>
    <w:p>
      <w:pPr>
        <w:spacing w:line="360" w:lineRule="auto"/>
        <w:outlineLvl w:val="0"/>
        <w:rPr>
          <w:rFonts w:ascii="宋体" w:hAnsi="宋体" w:eastAsia="宋体"/>
          <w:b/>
          <w:sz w:val="24"/>
          <w:szCs w:val="24"/>
        </w:rPr>
      </w:pPr>
      <w:bookmarkStart w:id="115" w:name="_Toc20564"/>
      <w:r>
        <w:rPr>
          <w:rFonts w:ascii="宋体" w:hAnsi="宋体" w:eastAsia="宋体"/>
          <w:b/>
          <w:sz w:val="24"/>
          <w:szCs w:val="24"/>
        </w:rPr>
        <w:t>3.3 响应文件有效期</w:t>
      </w:r>
      <w:bookmarkEnd w:id="115"/>
    </w:p>
    <w:p>
      <w:pPr>
        <w:spacing w:line="360" w:lineRule="auto"/>
        <w:ind w:firstLine="480" w:firstLineChars="200"/>
        <w:outlineLvl w:val="0"/>
        <w:rPr>
          <w:rFonts w:ascii="宋体" w:hAnsi="宋体" w:eastAsia="宋体"/>
          <w:sz w:val="24"/>
          <w:szCs w:val="24"/>
        </w:rPr>
      </w:pPr>
      <w:bookmarkStart w:id="116" w:name="_Toc19865"/>
      <w:r>
        <w:rPr>
          <w:rFonts w:ascii="宋体" w:hAnsi="宋体" w:eastAsia="宋体"/>
          <w:sz w:val="24"/>
          <w:szCs w:val="24"/>
        </w:rPr>
        <w:t>3.3.1 除供应商须知前附表另有规定外，响应文件有效期为</w:t>
      </w:r>
      <w:r>
        <w:rPr>
          <w:rFonts w:hint="eastAsia" w:ascii="宋体" w:hAnsi="宋体" w:eastAsia="宋体"/>
          <w:sz w:val="24"/>
          <w:szCs w:val="24"/>
        </w:rPr>
        <w:t>提交响应文件截止时间起90天</w:t>
      </w:r>
      <w:r>
        <w:rPr>
          <w:rFonts w:ascii="宋体" w:hAnsi="宋体" w:eastAsia="宋体"/>
          <w:sz w:val="24"/>
          <w:szCs w:val="24"/>
        </w:rPr>
        <w:t>。</w:t>
      </w:r>
      <w:bookmarkEnd w:id="116"/>
    </w:p>
    <w:p>
      <w:pPr>
        <w:spacing w:line="360" w:lineRule="auto"/>
        <w:ind w:firstLine="480" w:firstLineChars="200"/>
        <w:outlineLvl w:val="0"/>
        <w:rPr>
          <w:rFonts w:ascii="宋体" w:hAnsi="宋体" w:eastAsia="宋体"/>
          <w:sz w:val="24"/>
          <w:szCs w:val="24"/>
        </w:rPr>
      </w:pPr>
      <w:bookmarkStart w:id="117" w:name="_Toc31050"/>
      <w:r>
        <w:rPr>
          <w:rFonts w:ascii="宋体" w:hAnsi="宋体" w:eastAsia="宋体"/>
          <w:sz w:val="24"/>
          <w:szCs w:val="24"/>
        </w:rPr>
        <w:t>3.3.2 在响应文件有效期内，供应商撤销响应文件的，应承担磋商文件和法律规定的责任。</w:t>
      </w:r>
      <w:bookmarkEnd w:id="117"/>
    </w:p>
    <w:p>
      <w:pPr>
        <w:spacing w:line="360" w:lineRule="auto"/>
        <w:ind w:firstLine="480" w:firstLineChars="200"/>
        <w:outlineLvl w:val="0"/>
        <w:rPr>
          <w:rFonts w:ascii="宋体" w:hAnsi="宋体" w:eastAsia="宋体"/>
          <w:sz w:val="24"/>
          <w:szCs w:val="24"/>
        </w:rPr>
      </w:pPr>
      <w:bookmarkStart w:id="118" w:name="_Toc15017"/>
      <w:r>
        <w:rPr>
          <w:rFonts w:ascii="宋体" w:hAnsi="宋体" w:eastAsia="宋体"/>
          <w:sz w:val="24"/>
          <w:szCs w:val="24"/>
        </w:rPr>
        <w:t>3.3.3 出现特殊情况需要延长响应文件有效期的，采购人以书面形式通知所有供应商延长响应文件有效期。供应商应予以书面答复，同意延长的，应相应延长其磋商保证金的有效期，但不得要求或被允许修改其响应文件；供应商拒绝延长的，其</w:t>
      </w:r>
      <w:r>
        <w:rPr>
          <w:rFonts w:hint="eastAsia" w:ascii="宋体" w:hAnsi="宋体" w:eastAsia="宋体"/>
          <w:sz w:val="24"/>
          <w:szCs w:val="24"/>
        </w:rPr>
        <w:t>响应</w:t>
      </w:r>
      <w:r>
        <w:rPr>
          <w:rFonts w:ascii="宋体" w:hAnsi="宋体" w:eastAsia="宋体"/>
          <w:sz w:val="24"/>
          <w:szCs w:val="24"/>
        </w:rPr>
        <w:t>失效，但供应商有权收回其磋商保证金。</w:t>
      </w:r>
      <w:bookmarkEnd w:id="118"/>
    </w:p>
    <w:p>
      <w:pPr>
        <w:spacing w:line="360" w:lineRule="auto"/>
        <w:outlineLvl w:val="0"/>
        <w:rPr>
          <w:rFonts w:hint="eastAsia" w:ascii="宋体" w:hAnsi="宋体" w:eastAsia="宋体"/>
          <w:b/>
          <w:sz w:val="24"/>
          <w:szCs w:val="24"/>
          <w:lang w:eastAsia="zh-CN"/>
        </w:rPr>
      </w:pPr>
      <w:bookmarkStart w:id="119" w:name="_Toc23652"/>
      <w:r>
        <w:rPr>
          <w:rFonts w:ascii="宋体" w:hAnsi="宋体" w:eastAsia="宋体"/>
          <w:b/>
          <w:sz w:val="24"/>
          <w:szCs w:val="24"/>
        </w:rPr>
        <w:t>3.4 磋商保证金</w:t>
      </w:r>
      <w:bookmarkEnd w:id="119"/>
      <w:r>
        <w:rPr>
          <w:rFonts w:hint="eastAsia" w:ascii="宋体" w:hAnsi="宋体" w:eastAsia="宋体"/>
          <w:b/>
          <w:sz w:val="24"/>
          <w:szCs w:val="24"/>
          <w:lang w:eastAsia="zh-CN"/>
        </w:rPr>
        <w:t>（本项目不适用）</w:t>
      </w:r>
    </w:p>
    <w:p>
      <w:pPr>
        <w:spacing w:line="360" w:lineRule="auto"/>
        <w:ind w:firstLine="480" w:firstLineChars="200"/>
        <w:outlineLvl w:val="0"/>
        <w:rPr>
          <w:rFonts w:ascii="宋体" w:hAnsi="宋体" w:eastAsia="宋体"/>
          <w:sz w:val="24"/>
          <w:szCs w:val="24"/>
        </w:rPr>
      </w:pPr>
      <w:bookmarkStart w:id="120" w:name="_Toc27677"/>
      <w:r>
        <w:rPr>
          <w:rFonts w:ascii="宋体" w:hAnsi="宋体" w:eastAsia="宋体"/>
          <w:sz w:val="24"/>
          <w:szCs w:val="24"/>
        </w:rPr>
        <w:t>3.4.1 供应商在提交响应文件的同时，应按供应商须知前附表规定</w:t>
      </w:r>
      <w:r>
        <w:rPr>
          <w:rFonts w:hint="eastAsia" w:ascii="宋体" w:hAnsi="宋体" w:eastAsia="宋体"/>
          <w:sz w:val="24"/>
          <w:szCs w:val="24"/>
        </w:rPr>
        <w:t>缴纳</w:t>
      </w:r>
      <w:r>
        <w:rPr>
          <w:rFonts w:ascii="宋体" w:hAnsi="宋体" w:eastAsia="宋体"/>
          <w:sz w:val="24"/>
          <w:szCs w:val="24"/>
        </w:rPr>
        <w:t>磋商保证金，并作为其响应文件的组成部分。联合体的，其磋商保证金可以由牵头人</w:t>
      </w:r>
      <w:r>
        <w:rPr>
          <w:rFonts w:hint="eastAsia" w:ascii="宋体" w:hAnsi="宋体" w:eastAsia="宋体"/>
          <w:sz w:val="24"/>
          <w:szCs w:val="24"/>
        </w:rPr>
        <w:t>或者多方共同交纳</w:t>
      </w:r>
      <w:r>
        <w:rPr>
          <w:rFonts w:ascii="宋体" w:hAnsi="宋体" w:eastAsia="宋体"/>
          <w:sz w:val="24"/>
          <w:szCs w:val="24"/>
        </w:rPr>
        <w:t>，</w:t>
      </w:r>
      <w:r>
        <w:rPr>
          <w:rFonts w:hint="eastAsia" w:ascii="宋体" w:hAnsi="宋体" w:eastAsia="宋体"/>
          <w:sz w:val="24"/>
          <w:szCs w:val="24"/>
        </w:rPr>
        <w:t>其交纳的保证金对联合体各方均具有约束力。</w:t>
      </w:r>
      <w:bookmarkEnd w:id="120"/>
    </w:p>
    <w:p>
      <w:pPr>
        <w:spacing w:line="360" w:lineRule="auto"/>
        <w:ind w:firstLine="480" w:firstLineChars="200"/>
        <w:outlineLvl w:val="0"/>
        <w:rPr>
          <w:rFonts w:ascii="宋体" w:hAnsi="宋体" w:eastAsia="宋体"/>
          <w:sz w:val="24"/>
          <w:szCs w:val="24"/>
        </w:rPr>
      </w:pPr>
      <w:bookmarkStart w:id="121" w:name="_Toc10977"/>
      <w:r>
        <w:rPr>
          <w:rFonts w:ascii="宋体" w:hAnsi="宋体" w:eastAsia="宋体"/>
          <w:sz w:val="24"/>
          <w:szCs w:val="24"/>
        </w:rPr>
        <w:t>3.4.2 供应商不按本章第 3.4.1 项要求提交磋商保证金的，磋商小组将否决其</w:t>
      </w:r>
      <w:r>
        <w:rPr>
          <w:rFonts w:hint="eastAsia" w:ascii="宋体" w:hAnsi="宋体" w:eastAsia="宋体"/>
          <w:sz w:val="24"/>
          <w:szCs w:val="24"/>
        </w:rPr>
        <w:t>响应</w:t>
      </w:r>
      <w:r>
        <w:rPr>
          <w:rFonts w:ascii="宋体" w:hAnsi="宋体" w:eastAsia="宋体"/>
          <w:sz w:val="24"/>
          <w:szCs w:val="24"/>
        </w:rPr>
        <w:t>。</w:t>
      </w:r>
      <w:bookmarkEnd w:id="121"/>
    </w:p>
    <w:p>
      <w:pPr>
        <w:spacing w:line="360" w:lineRule="auto"/>
        <w:ind w:firstLine="480" w:firstLineChars="200"/>
        <w:outlineLvl w:val="0"/>
        <w:rPr>
          <w:rFonts w:ascii="宋体" w:hAnsi="宋体" w:eastAsia="宋体"/>
          <w:sz w:val="24"/>
          <w:szCs w:val="24"/>
        </w:rPr>
      </w:pPr>
      <w:bookmarkStart w:id="122" w:name="_Toc32445"/>
      <w:r>
        <w:rPr>
          <w:rFonts w:ascii="宋体" w:hAnsi="宋体" w:eastAsia="宋体"/>
          <w:sz w:val="24"/>
          <w:szCs w:val="24"/>
        </w:rPr>
        <w:t>3.4.3</w:t>
      </w:r>
      <w:r>
        <w:rPr>
          <w:rFonts w:hint="eastAsia" w:ascii="宋体" w:hAnsi="宋体" w:eastAsia="宋体"/>
          <w:sz w:val="24"/>
          <w:szCs w:val="24"/>
        </w:rPr>
        <w:t>自《成交通知书》发出之日起5个工作日内退还未成交供应商的磋商保证金，自采购合同签订之日起5个工作日内（凭采购合同原件到代理公司）退还成交供应商的磋商保证金。</w:t>
      </w:r>
      <w:bookmarkEnd w:id="122"/>
    </w:p>
    <w:p>
      <w:pPr>
        <w:spacing w:line="360" w:lineRule="auto"/>
        <w:ind w:firstLine="480" w:firstLineChars="200"/>
        <w:outlineLvl w:val="0"/>
        <w:rPr>
          <w:rFonts w:ascii="宋体" w:hAnsi="宋体" w:eastAsia="宋体"/>
          <w:sz w:val="24"/>
          <w:szCs w:val="24"/>
        </w:rPr>
      </w:pPr>
      <w:bookmarkStart w:id="123" w:name="_Toc1251"/>
      <w:r>
        <w:rPr>
          <w:rFonts w:ascii="宋体" w:hAnsi="宋体" w:eastAsia="宋体"/>
          <w:sz w:val="24"/>
          <w:szCs w:val="24"/>
        </w:rPr>
        <w:t>3.4.4 有下列情形之一的，磋商保证金将不予退还</w:t>
      </w:r>
      <w:r>
        <w:rPr>
          <w:rFonts w:hint="eastAsia" w:ascii="宋体" w:hAnsi="宋体" w:eastAsia="宋体"/>
          <w:sz w:val="24"/>
          <w:szCs w:val="24"/>
        </w:rPr>
        <w:t>：</w:t>
      </w:r>
      <w:bookmarkEnd w:id="123"/>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4" w:name="_Toc14403"/>
      <w:r>
        <w:rPr>
          <w:rFonts w:hint="eastAsia" w:ascii="宋体" w:hAnsi="宋体" w:eastAsia="宋体"/>
          <w:sz w:val="24"/>
          <w:szCs w:val="24"/>
        </w:rPr>
        <w:t>（1）供应商在提交响应文件截止时间后撤回响应文件的；</w:t>
      </w:r>
      <w:bookmarkEnd w:id="124"/>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5" w:name="_Toc17293"/>
      <w:r>
        <w:rPr>
          <w:rFonts w:hint="eastAsia" w:ascii="宋体" w:hAnsi="宋体" w:eastAsia="宋体"/>
          <w:sz w:val="24"/>
          <w:szCs w:val="24"/>
        </w:rPr>
        <w:t>（2）供应商在响应文件中提供虚假材料的；</w:t>
      </w:r>
      <w:bookmarkEnd w:id="125"/>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6" w:name="_Toc13005"/>
      <w:r>
        <w:rPr>
          <w:rFonts w:hint="eastAsia" w:ascii="宋体" w:hAnsi="宋体" w:eastAsia="宋体"/>
          <w:sz w:val="24"/>
          <w:szCs w:val="24"/>
        </w:rPr>
        <w:t>（3）除因不可抗力或磋商文件认可的情形以外，成交供应商不与采购人签订合同的；</w:t>
      </w:r>
      <w:bookmarkEnd w:id="126"/>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7" w:name="_Toc20008"/>
      <w:r>
        <w:rPr>
          <w:rFonts w:hint="eastAsia" w:ascii="宋体" w:hAnsi="宋体" w:eastAsia="宋体"/>
          <w:sz w:val="24"/>
          <w:szCs w:val="24"/>
        </w:rPr>
        <w:t>（4）供应商与采购人、其他供应商或者采购代理机构恶意串通的；</w:t>
      </w:r>
      <w:bookmarkEnd w:id="127"/>
    </w:p>
    <w:p>
      <w:pPr>
        <w:spacing w:line="360" w:lineRule="auto"/>
        <w:outlineLvl w:val="0"/>
        <w:rPr>
          <w:rFonts w:ascii="宋体" w:hAnsi="宋体" w:eastAsia="宋体"/>
          <w:sz w:val="24"/>
          <w:szCs w:val="24"/>
        </w:rPr>
      </w:pPr>
      <w:r>
        <w:rPr>
          <w:rFonts w:hint="eastAsia" w:ascii="宋体" w:hAnsi="宋体" w:eastAsia="宋体"/>
          <w:sz w:val="24"/>
          <w:szCs w:val="24"/>
        </w:rPr>
        <w:t>　　</w:t>
      </w:r>
      <w:bookmarkStart w:id="128" w:name="_Toc11125"/>
      <w:r>
        <w:rPr>
          <w:rFonts w:hint="eastAsia" w:ascii="宋体" w:hAnsi="宋体" w:eastAsia="宋体"/>
          <w:sz w:val="24"/>
          <w:szCs w:val="24"/>
        </w:rPr>
        <w:t>（5）磋商文件规定的其他情形。</w:t>
      </w:r>
      <w:bookmarkEnd w:id="128"/>
    </w:p>
    <w:p>
      <w:pPr>
        <w:spacing w:line="360" w:lineRule="auto"/>
        <w:outlineLvl w:val="0"/>
        <w:rPr>
          <w:rFonts w:ascii="宋体" w:hAnsi="宋体" w:eastAsia="宋体"/>
          <w:b/>
          <w:sz w:val="24"/>
          <w:szCs w:val="24"/>
        </w:rPr>
      </w:pPr>
      <w:bookmarkStart w:id="129" w:name="_Toc1377"/>
      <w:r>
        <w:rPr>
          <w:rFonts w:ascii="宋体" w:hAnsi="宋体" w:eastAsia="宋体"/>
          <w:b/>
          <w:sz w:val="24"/>
          <w:szCs w:val="24"/>
        </w:rPr>
        <w:t>3.5 资格审查资料</w:t>
      </w:r>
      <w:bookmarkEnd w:id="129"/>
    </w:p>
    <w:p>
      <w:pPr>
        <w:spacing w:line="360" w:lineRule="auto"/>
        <w:ind w:firstLine="470" w:firstLineChars="196"/>
        <w:rPr>
          <w:rFonts w:ascii="宋体" w:hAnsi="宋体" w:eastAsia="宋体"/>
          <w:sz w:val="24"/>
          <w:szCs w:val="24"/>
        </w:rPr>
      </w:pPr>
      <w:r>
        <w:rPr>
          <w:rFonts w:hint="eastAsia" w:ascii="宋体" w:hAnsi="宋体" w:eastAsia="宋体"/>
          <w:sz w:val="24"/>
          <w:szCs w:val="24"/>
        </w:rPr>
        <w:t>3.5.1根据评审办法前附表内容提供证明材料。</w:t>
      </w:r>
    </w:p>
    <w:p>
      <w:pPr>
        <w:spacing w:line="360" w:lineRule="auto"/>
        <w:ind w:firstLine="480" w:firstLineChars="200"/>
        <w:outlineLvl w:val="0"/>
        <w:rPr>
          <w:rFonts w:ascii="宋体" w:hAnsi="宋体" w:eastAsia="宋体"/>
          <w:sz w:val="24"/>
          <w:szCs w:val="24"/>
        </w:rPr>
      </w:pPr>
      <w:bookmarkStart w:id="130" w:name="_Toc25175"/>
      <w:r>
        <w:rPr>
          <w:rFonts w:ascii="宋体" w:hAnsi="宋体" w:eastAsia="宋体"/>
          <w:sz w:val="24"/>
          <w:szCs w:val="24"/>
        </w:rPr>
        <w:t>3.5.</w:t>
      </w:r>
      <w:r>
        <w:rPr>
          <w:rFonts w:hint="eastAsia" w:ascii="宋体" w:hAnsi="宋体" w:eastAsia="宋体"/>
          <w:sz w:val="24"/>
          <w:szCs w:val="24"/>
        </w:rPr>
        <w:t>2</w:t>
      </w:r>
      <w:r>
        <w:rPr>
          <w:rFonts w:ascii="宋体" w:hAnsi="宋体" w:eastAsia="宋体"/>
          <w:sz w:val="24"/>
          <w:szCs w:val="24"/>
        </w:rPr>
        <w:t>供应商须知前附表规定接受联合体的，</w:t>
      </w:r>
      <w:r>
        <w:rPr>
          <w:rFonts w:hint="eastAsia" w:ascii="宋体" w:hAnsi="宋体" w:eastAsia="宋体"/>
          <w:sz w:val="24"/>
          <w:szCs w:val="24"/>
        </w:rPr>
        <w:t>联合体各方均应提供资格审查资料</w:t>
      </w:r>
      <w:r>
        <w:rPr>
          <w:rFonts w:ascii="宋体" w:hAnsi="宋体" w:eastAsia="宋体"/>
          <w:sz w:val="24"/>
          <w:szCs w:val="24"/>
        </w:rPr>
        <w:t>。</w:t>
      </w:r>
      <w:bookmarkEnd w:id="130"/>
    </w:p>
    <w:p>
      <w:pPr>
        <w:spacing w:line="360" w:lineRule="auto"/>
        <w:ind w:firstLine="480" w:firstLineChars="200"/>
        <w:outlineLvl w:val="0"/>
        <w:rPr>
          <w:rFonts w:ascii="宋体" w:hAnsi="宋体" w:eastAsia="宋体"/>
          <w:sz w:val="24"/>
          <w:szCs w:val="24"/>
        </w:rPr>
      </w:pPr>
      <w:bookmarkStart w:id="131" w:name="_Toc2746"/>
      <w:r>
        <w:rPr>
          <w:rFonts w:hint="eastAsia" w:ascii="宋体" w:hAnsi="宋体" w:eastAsia="宋体"/>
          <w:sz w:val="24"/>
          <w:szCs w:val="24"/>
        </w:rPr>
        <w:t>3.5.3资格审查资料的特殊要求</w:t>
      </w:r>
      <w:r>
        <w:rPr>
          <w:rFonts w:ascii="宋体" w:hAnsi="宋体" w:eastAsia="宋体"/>
          <w:sz w:val="24"/>
          <w:szCs w:val="24"/>
        </w:rPr>
        <w:t>见</w:t>
      </w:r>
      <w:r>
        <w:rPr>
          <w:rFonts w:hint="eastAsia" w:ascii="宋体" w:hAnsi="宋体" w:eastAsia="宋体"/>
          <w:sz w:val="24"/>
          <w:szCs w:val="24"/>
        </w:rPr>
        <w:t>供应商</w:t>
      </w:r>
      <w:r>
        <w:rPr>
          <w:rFonts w:ascii="宋体" w:hAnsi="宋体" w:eastAsia="宋体"/>
          <w:sz w:val="24"/>
          <w:szCs w:val="24"/>
        </w:rPr>
        <w:t>须知前附表。</w:t>
      </w:r>
      <w:bookmarkEnd w:id="131"/>
    </w:p>
    <w:p>
      <w:pPr>
        <w:spacing w:line="360" w:lineRule="auto"/>
        <w:outlineLvl w:val="0"/>
        <w:rPr>
          <w:rFonts w:ascii="宋体" w:hAnsi="宋体" w:eastAsia="宋体"/>
          <w:b/>
          <w:sz w:val="24"/>
          <w:szCs w:val="24"/>
        </w:rPr>
      </w:pPr>
      <w:bookmarkStart w:id="132" w:name="_Toc5490"/>
      <w:r>
        <w:rPr>
          <w:rFonts w:ascii="宋体" w:hAnsi="宋体" w:eastAsia="宋体"/>
          <w:b/>
          <w:sz w:val="24"/>
          <w:szCs w:val="24"/>
        </w:rPr>
        <w:t>3.6 备选方案</w:t>
      </w:r>
      <w:bookmarkEnd w:id="132"/>
    </w:p>
    <w:p>
      <w:pPr>
        <w:spacing w:line="360" w:lineRule="auto"/>
        <w:ind w:firstLine="480" w:firstLineChars="200"/>
        <w:outlineLvl w:val="0"/>
        <w:rPr>
          <w:rFonts w:ascii="宋体" w:hAnsi="宋体" w:eastAsia="宋体"/>
          <w:sz w:val="24"/>
          <w:szCs w:val="24"/>
        </w:rPr>
      </w:pPr>
      <w:bookmarkStart w:id="133" w:name="_Toc25747"/>
      <w:r>
        <w:rPr>
          <w:rFonts w:ascii="宋体" w:hAnsi="宋体" w:eastAsia="宋体"/>
          <w:sz w:val="24"/>
          <w:szCs w:val="24"/>
        </w:rPr>
        <w:t>3.6.1 除供应商须知前附表规定允许外，供应商不得提交备选方案，否则其响应将被否决。</w:t>
      </w:r>
      <w:bookmarkEnd w:id="133"/>
    </w:p>
    <w:p>
      <w:pPr>
        <w:spacing w:line="360" w:lineRule="auto"/>
        <w:ind w:firstLine="480" w:firstLineChars="200"/>
        <w:outlineLvl w:val="0"/>
        <w:rPr>
          <w:rFonts w:ascii="宋体" w:hAnsi="宋体" w:eastAsia="宋体"/>
          <w:sz w:val="24"/>
          <w:szCs w:val="24"/>
        </w:rPr>
      </w:pPr>
      <w:bookmarkStart w:id="134" w:name="_Toc30850"/>
      <w:r>
        <w:rPr>
          <w:rFonts w:ascii="宋体" w:hAnsi="宋体" w:eastAsia="宋体"/>
          <w:sz w:val="24"/>
          <w:szCs w:val="24"/>
        </w:rPr>
        <w:t>3.6.2 允许供应商提交备选方案的，只有成交供应商所提交的备选方案方可予以考虑。磋商小组认为成交供应商的备选方案优于其按照磋商文件要求编制的</w:t>
      </w:r>
      <w:r>
        <w:rPr>
          <w:rFonts w:hint="eastAsia" w:ascii="宋体" w:hAnsi="宋体" w:eastAsia="宋体"/>
          <w:sz w:val="24"/>
          <w:szCs w:val="24"/>
        </w:rPr>
        <w:t>响应</w:t>
      </w:r>
      <w:r>
        <w:rPr>
          <w:rFonts w:ascii="宋体" w:hAnsi="宋体" w:eastAsia="宋体"/>
          <w:sz w:val="24"/>
          <w:szCs w:val="24"/>
        </w:rPr>
        <w:t>方案的，采购人可以接受该备选方案。</w:t>
      </w:r>
      <w:bookmarkEnd w:id="134"/>
    </w:p>
    <w:p>
      <w:pPr>
        <w:spacing w:line="360" w:lineRule="auto"/>
        <w:ind w:firstLine="480" w:firstLineChars="200"/>
        <w:outlineLvl w:val="0"/>
        <w:rPr>
          <w:rFonts w:ascii="宋体" w:hAnsi="宋体" w:eastAsia="宋体"/>
          <w:sz w:val="24"/>
          <w:szCs w:val="24"/>
        </w:rPr>
      </w:pPr>
      <w:bookmarkStart w:id="135" w:name="_Toc2864"/>
      <w:r>
        <w:rPr>
          <w:rFonts w:ascii="宋体" w:hAnsi="宋体" w:eastAsia="宋体"/>
          <w:sz w:val="24"/>
          <w:szCs w:val="24"/>
        </w:rPr>
        <w:t>3.6.3 供应商提供两个或两个以上报价，或者在响应文件中提供一个报价，但同时提供两个或两个以上方案的，视为提供备选方案。</w:t>
      </w:r>
      <w:bookmarkEnd w:id="135"/>
    </w:p>
    <w:p>
      <w:pPr>
        <w:spacing w:line="360" w:lineRule="auto"/>
        <w:outlineLvl w:val="0"/>
        <w:rPr>
          <w:rFonts w:ascii="宋体" w:hAnsi="宋体" w:eastAsia="宋体"/>
          <w:b/>
          <w:sz w:val="24"/>
          <w:szCs w:val="24"/>
        </w:rPr>
      </w:pPr>
      <w:bookmarkStart w:id="136" w:name="_Toc12390"/>
      <w:r>
        <w:rPr>
          <w:rFonts w:ascii="宋体" w:hAnsi="宋体" w:eastAsia="宋体"/>
          <w:b/>
          <w:sz w:val="24"/>
          <w:szCs w:val="24"/>
        </w:rPr>
        <w:t>3.7 响应文件的编制</w:t>
      </w:r>
      <w:bookmarkEnd w:id="136"/>
    </w:p>
    <w:p>
      <w:pPr>
        <w:spacing w:line="360" w:lineRule="auto"/>
        <w:ind w:firstLine="480" w:firstLineChars="200"/>
        <w:outlineLvl w:val="0"/>
        <w:rPr>
          <w:rFonts w:ascii="宋体" w:hAnsi="宋体" w:eastAsia="宋体"/>
          <w:sz w:val="24"/>
          <w:szCs w:val="24"/>
        </w:rPr>
      </w:pPr>
      <w:bookmarkStart w:id="137" w:name="_Toc3828"/>
      <w:r>
        <w:rPr>
          <w:rFonts w:ascii="宋体" w:hAnsi="宋体" w:eastAsia="宋体"/>
          <w:sz w:val="24"/>
          <w:szCs w:val="24"/>
        </w:rPr>
        <w:t>3.7.1 响应文件应按第六章“响应文件格式”进行编写，如有必要，可以增加附页，作为响应文件的组成部分。</w:t>
      </w:r>
      <w:bookmarkEnd w:id="137"/>
    </w:p>
    <w:p>
      <w:pPr>
        <w:spacing w:line="360" w:lineRule="auto"/>
        <w:ind w:firstLine="480" w:firstLineChars="200"/>
        <w:outlineLvl w:val="0"/>
        <w:rPr>
          <w:rFonts w:ascii="宋体" w:hAnsi="宋体" w:eastAsia="宋体"/>
          <w:sz w:val="24"/>
          <w:szCs w:val="24"/>
        </w:rPr>
      </w:pPr>
      <w:bookmarkStart w:id="138" w:name="_Toc5872"/>
      <w:r>
        <w:rPr>
          <w:rFonts w:ascii="宋体" w:hAnsi="宋体" w:eastAsia="宋体"/>
          <w:sz w:val="24"/>
          <w:szCs w:val="24"/>
        </w:rPr>
        <w:t>3.7.2 响应文件应当对磋商文件有关</w:t>
      </w:r>
      <w:r>
        <w:rPr>
          <w:rFonts w:hint="eastAsia" w:ascii="宋体" w:hAnsi="宋体" w:eastAsia="宋体"/>
          <w:sz w:val="24"/>
          <w:szCs w:val="24"/>
        </w:rPr>
        <w:t>服务期限</w:t>
      </w:r>
      <w:r>
        <w:rPr>
          <w:rFonts w:ascii="宋体" w:hAnsi="宋体" w:eastAsia="宋体"/>
          <w:sz w:val="24"/>
          <w:szCs w:val="24"/>
        </w:rPr>
        <w:t>、</w:t>
      </w:r>
      <w:r>
        <w:rPr>
          <w:rFonts w:hint="eastAsia" w:ascii="宋体" w:hAnsi="宋体" w:eastAsia="宋体"/>
          <w:sz w:val="24"/>
          <w:szCs w:val="24"/>
        </w:rPr>
        <w:t>质量目标、</w:t>
      </w:r>
      <w:r>
        <w:rPr>
          <w:rFonts w:ascii="宋体" w:hAnsi="宋体" w:eastAsia="宋体"/>
          <w:sz w:val="24"/>
          <w:szCs w:val="24"/>
        </w:rPr>
        <w:t>响应文件有效期等实质性内容作出响应。响应文件在满足磋商文件实质性要求的基础上，可以提出比磋商文件要求更有利于采购人的承诺。</w:t>
      </w:r>
      <w:bookmarkEnd w:id="138"/>
    </w:p>
    <w:p>
      <w:pPr>
        <w:spacing w:line="360" w:lineRule="auto"/>
        <w:ind w:firstLine="480" w:firstLineChars="200"/>
        <w:outlineLvl w:val="0"/>
        <w:rPr>
          <w:rFonts w:ascii="宋体" w:hAnsi="宋体" w:eastAsia="宋体"/>
          <w:sz w:val="24"/>
          <w:szCs w:val="24"/>
        </w:rPr>
      </w:pPr>
      <w:bookmarkStart w:id="139" w:name="_Toc10615"/>
      <w:r>
        <w:rPr>
          <w:rFonts w:ascii="宋体" w:hAnsi="宋体" w:eastAsia="宋体"/>
          <w:sz w:val="24"/>
          <w:szCs w:val="24"/>
        </w:rPr>
        <w:t>3.7.3（1）响应文件应用不褪色的材料书写或打印，响应函及对响应文件的澄清、说明和补正应由供应商的法定代表人（单位负责人）或其授权的代理人签字或盖公章。由供应商的法定代表人（单位负责人）签字的，应附法定代表人（单位负责人）身份证明，由代理人签字的，应附授权委托书，身份证明或授权委托书应符合第六章“响应文件格式”的要求。响应文件应尽量避免涂改、行间插字或删除。如果出现上述情况，改动之处应由供应商的法定代表人（单位负责人）或其授权的代理人签字或盖公章。</w:t>
      </w:r>
      <w:bookmarkEnd w:id="139"/>
    </w:p>
    <w:p>
      <w:pPr>
        <w:spacing w:line="360" w:lineRule="auto"/>
        <w:ind w:firstLine="480" w:firstLineChars="200"/>
        <w:outlineLvl w:val="0"/>
        <w:rPr>
          <w:rFonts w:ascii="宋体" w:hAnsi="宋体" w:eastAsia="宋体"/>
          <w:sz w:val="24"/>
          <w:szCs w:val="24"/>
        </w:rPr>
      </w:pPr>
      <w:bookmarkStart w:id="140" w:name="_Toc29212"/>
      <w:r>
        <w:rPr>
          <w:rFonts w:ascii="宋体" w:hAnsi="宋体" w:eastAsia="宋体"/>
          <w:sz w:val="24"/>
          <w:szCs w:val="24"/>
        </w:rPr>
        <w:t>（2）响应文件正本一份，副本份数见供应商须知前附表。正本和副本的封面右上角上应清楚地标记“正本”或“副本”的字样。供应商应根据供应商须知前附表要求提供电子版文件。当副</w:t>
      </w:r>
      <w:bookmarkStart w:id="141" w:name="page27"/>
      <w:bookmarkEnd w:id="141"/>
      <w:r>
        <w:rPr>
          <w:rFonts w:ascii="宋体" w:hAnsi="宋体" w:eastAsia="宋体"/>
          <w:sz w:val="24"/>
          <w:szCs w:val="24"/>
        </w:rPr>
        <w:t>本和正本不一致或电子版文件和纸质正本文件不一致时，以纸质正本文件为准。</w:t>
      </w:r>
      <w:bookmarkEnd w:id="140"/>
    </w:p>
    <w:p>
      <w:pPr>
        <w:spacing w:line="360" w:lineRule="auto"/>
        <w:ind w:firstLine="480" w:firstLineChars="200"/>
        <w:outlineLvl w:val="0"/>
        <w:rPr>
          <w:rFonts w:ascii="宋体" w:hAnsi="宋体" w:eastAsia="宋体"/>
          <w:strike/>
          <w:sz w:val="24"/>
          <w:szCs w:val="24"/>
        </w:rPr>
      </w:pPr>
      <w:bookmarkStart w:id="142" w:name="_Toc22635"/>
      <w:r>
        <w:rPr>
          <w:rFonts w:ascii="宋体" w:hAnsi="宋体" w:eastAsia="宋体"/>
          <w:sz w:val="24"/>
          <w:szCs w:val="24"/>
        </w:rPr>
        <w:t>（3）响应文件的正本与副本应分别装订，</w:t>
      </w:r>
      <w:r>
        <w:rPr>
          <w:rFonts w:hint="eastAsia" w:ascii="宋体" w:hAnsi="宋体" w:eastAsia="宋体"/>
          <w:sz w:val="24"/>
          <w:szCs w:val="24"/>
        </w:rPr>
        <w:t>胶装成册，</w:t>
      </w:r>
      <w:r>
        <w:rPr>
          <w:rFonts w:ascii="宋体" w:hAnsi="宋体" w:eastAsia="宋体"/>
          <w:sz w:val="24"/>
          <w:szCs w:val="24"/>
        </w:rPr>
        <w:t>并编制目录</w:t>
      </w:r>
      <w:r>
        <w:rPr>
          <w:rFonts w:hint="eastAsia" w:ascii="宋体" w:hAnsi="宋体" w:eastAsia="宋体"/>
          <w:sz w:val="24"/>
          <w:szCs w:val="24"/>
        </w:rPr>
        <w:t>。</w:t>
      </w:r>
      <w:bookmarkEnd w:id="142"/>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4、响应文件提交</w:t>
      </w:r>
    </w:p>
    <w:p>
      <w:pPr>
        <w:spacing w:line="360" w:lineRule="auto"/>
        <w:outlineLvl w:val="0"/>
        <w:rPr>
          <w:rFonts w:ascii="宋体" w:hAnsi="宋体" w:eastAsia="宋体"/>
          <w:b/>
          <w:sz w:val="24"/>
          <w:szCs w:val="24"/>
        </w:rPr>
      </w:pPr>
      <w:bookmarkStart w:id="143" w:name="_Toc25078"/>
      <w:r>
        <w:rPr>
          <w:rFonts w:ascii="宋体" w:hAnsi="宋体" w:eastAsia="宋体"/>
          <w:b/>
          <w:sz w:val="24"/>
          <w:szCs w:val="24"/>
        </w:rPr>
        <w:t>4.1 响应文件的密封和标记</w:t>
      </w:r>
      <w:bookmarkEnd w:id="143"/>
    </w:p>
    <w:p>
      <w:pPr>
        <w:spacing w:line="360" w:lineRule="auto"/>
        <w:ind w:firstLine="480" w:firstLineChars="200"/>
        <w:outlineLvl w:val="0"/>
        <w:rPr>
          <w:rFonts w:ascii="宋体" w:hAnsi="宋体" w:eastAsia="宋体"/>
          <w:strike/>
          <w:sz w:val="24"/>
          <w:szCs w:val="24"/>
        </w:rPr>
      </w:pPr>
      <w:bookmarkStart w:id="144" w:name="_Toc22622"/>
      <w:r>
        <w:rPr>
          <w:rFonts w:ascii="宋体" w:hAnsi="宋体" w:eastAsia="宋体"/>
          <w:sz w:val="24"/>
          <w:szCs w:val="24"/>
        </w:rPr>
        <w:t>4.1.1响应文件应密封包装</w:t>
      </w:r>
      <w:r>
        <w:rPr>
          <w:rFonts w:hint="eastAsia" w:ascii="宋体" w:hAnsi="宋体" w:eastAsia="宋体"/>
          <w:sz w:val="24"/>
          <w:szCs w:val="24"/>
        </w:rPr>
        <w:t>在一个封套内</w:t>
      </w:r>
      <w:r>
        <w:rPr>
          <w:rFonts w:ascii="宋体" w:hAnsi="宋体" w:eastAsia="宋体"/>
          <w:sz w:val="24"/>
          <w:szCs w:val="24"/>
        </w:rPr>
        <w:t>，并</w:t>
      </w:r>
      <w:r>
        <w:rPr>
          <w:rFonts w:hint="eastAsia" w:ascii="宋体" w:hAnsi="宋体" w:eastAsia="宋体"/>
          <w:sz w:val="24"/>
          <w:szCs w:val="24"/>
        </w:rPr>
        <w:t>在封套上</w:t>
      </w:r>
      <w:r>
        <w:rPr>
          <w:rFonts w:ascii="宋体" w:hAnsi="宋体" w:eastAsia="宋体"/>
          <w:sz w:val="24"/>
          <w:szCs w:val="24"/>
        </w:rPr>
        <w:t>加盖供应商公章</w:t>
      </w:r>
      <w:r>
        <w:rPr>
          <w:rFonts w:hint="eastAsia" w:ascii="宋体" w:hAnsi="宋体" w:eastAsia="宋体"/>
          <w:sz w:val="24"/>
          <w:szCs w:val="24"/>
        </w:rPr>
        <w:t>和</w:t>
      </w:r>
      <w:r>
        <w:rPr>
          <w:rFonts w:ascii="宋体" w:hAnsi="宋体" w:eastAsia="宋体"/>
          <w:sz w:val="24"/>
          <w:szCs w:val="24"/>
        </w:rPr>
        <w:t>由供应商的法定代表人（单位负责人）或其授权的代理人签字。</w:t>
      </w:r>
      <w:bookmarkEnd w:id="144"/>
    </w:p>
    <w:p>
      <w:pPr>
        <w:spacing w:line="360" w:lineRule="auto"/>
        <w:ind w:firstLine="480" w:firstLineChars="200"/>
        <w:outlineLvl w:val="0"/>
        <w:rPr>
          <w:rFonts w:ascii="宋体" w:hAnsi="宋体" w:eastAsia="宋体"/>
          <w:sz w:val="24"/>
          <w:szCs w:val="24"/>
        </w:rPr>
      </w:pPr>
      <w:bookmarkStart w:id="145" w:name="_Toc8890"/>
      <w:r>
        <w:rPr>
          <w:rFonts w:ascii="宋体" w:hAnsi="宋体" w:eastAsia="宋体"/>
          <w:sz w:val="24"/>
          <w:szCs w:val="24"/>
        </w:rPr>
        <w:t>4.1.2 响应文件封套上应写明的内容见供应商须知前附表。</w:t>
      </w:r>
      <w:bookmarkEnd w:id="145"/>
    </w:p>
    <w:p>
      <w:pPr>
        <w:spacing w:line="360" w:lineRule="auto"/>
        <w:outlineLvl w:val="0"/>
        <w:rPr>
          <w:rFonts w:ascii="宋体" w:hAnsi="宋体" w:eastAsia="宋体"/>
          <w:b/>
          <w:sz w:val="24"/>
          <w:szCs w:val="24"/>
        </w:rPr>
      </w:pPr>
      <w:bookmarkStart w:id="146" w:name="_Toc18143"/>
      <w:r>
        <w:rPr>
          <w:rFonts w:ascii="宋体" w:hAnsi="宋体" w:eastAsia="宋体"/>
          <w:b/>
          <w:sz w:val="24"/>
          <w:szCs w:val="24"/>
        </w:rPr>
        <w:t>4.2 响应文件的提交</w:t>
      </w:r>
      <w:bookmarkEnd w:id="146"/>
    </w:p>
    <w:p>
      <w:pPr>
        <w:spacing w:line="360" w:lineRule="auto"/>
        <w:ind w:firstLine="480" w:firstLineChars="200"/>
        <w:rPr>
          <w:rFonts w:ascii="宋体" w:hAnsi="宋体" w:eastAsia="宋体"/>
          <w:sz w:val="24"/>
          <w:szCs w:val="24"/>
        </w:rPr>
      </w:pPr>
      <w:r>
        <w:rPr>
          <w:rFonts w:ascii="宋体" w:hAnsi="宋体" w:eastAsia="宋体"/>
          <w:sz w:val="24"/>
          <w:szCs w:val="24"/>
        </w:rPr>
        <w:t>4.2.1 供应商应在供应商须知前附表规定的提交响应文件截止时间前提交响应文件。</w:t>
      </w:r>
    </w:p>
    <w:p>
      <w:pPr>
        <w:spacing w:line="360" w:lineRule="auto"/>
        <w:ind w:firstLine="480" w:firstLineChars="200"/>
        <w:rPr>
          <w:rFonts w:ascii="宋体" w:hAnsi="宋体" w:eastAsia="宋体"/>
          <w:sz w:val="24"/>
          <w:szCs w:val="24"/>
        </w:rPr>
      </w:pPr>
      <w:r>
        <w:rPr>
          <w:rFonts w:ascii="宋体" w:hAnsi="宋体" w:eastAsia="宋体"/>
          <w:sz w:val="24"/>
          <w:szCs w:val="24"/>
        </w:rPr>
        <w:t>4.2.2供应商提交响应文件的地点：见供应商须知前附表。</w:t>
      </w:r>
    </w:p>
    <w:p>
      <w:pPr>
        <w:spacing w:line="360" w:lineRule="auto"/>
        <w:ind w:firstLine="480" w:firstLineChars="200"/>
        <w:rPr>
          <w:rFonts w:ascii="宋体" w:hAnsi="宋体" w:eastAsia="宋体"/>
          <w:sz w:val="24"/>
          <w:szCs w:val="24"/>
        </w:rPr>
      </w:pPr>
      <w:r>
        <w:rPr>
          <w:rFonts w:ascii="宋体" w:hAnsi="宋体" w:eastAsia="宋体"/>
          <w:sz w:val="24"/>
          <w:szCs w:val="24"/>
        </w:rPr>
        <w:t>4.2.3 除供应商须知前附表另有规定外，供应商所提交的响应文件不予退还。</w:t>
      </w:r>
    </w:p>
    <w:p>
      <w:pPr>
        <w:spacing w:line="360" w:lineRule="auto"/>
        <w:ind w:firstLine="480" w:firstLineChars="200"/>
        <w:rPr>
          <w:rFonts w:ascii="宋体" w:hAnsi="宋体" w:eastAsia="宋体"/>
          <w:sz w:val="24"/>
          <w:szCs w:val="24"/>
        </w:rPr>
      </w:pPr>
      <w:r>
        <w:rPr>
          <w:rFonts w:ascii="宋体" w:hAnsi="宋体" w:eastAsia="宋体"/>
          <w:sz w:val="24"/>
          <w:szCs w:val="24"/>
        </w:rPr>
        <w:t>4.2.4逾期送达的</w:t>
      </w:r>
      <w:r>
        <w:rPr>
          <w:rFonts w:hint="eastAsia" w:ascii="宋体" w:hAnsi="宋体" w:eastAsia="宋体"/>
          <w:sz w:val="24"/>
          <w:szCs w:val="24"/>
        </w:rPr>
        <w:t>或未按规定获取招标文件的</w:t>
      </w:r>
      <w:r>
        <w:rPr>
          <w:rFonts w:ascii="宋体" w:hAnsi="宋体" w:eastAsia="宋体"/>
          <w:sz w:val="24"/>
          <w:szCs w:val="24"/>
        </w:rPr>
        <w:t>响应文件，采购人将予以拒收。</w:t>
      </w:r>
    </w:p>
    <w:p>
      <w:pPr>
        <w:spacing w:line="360" w:lineRule="auto"/>
        <w:outlineLvl w:val="0"/>
        <w:rPr>
          <w:rFonts w:ascii="宋体" w:hAnsi="宋体" w:eastAsia="宋体"/>
          <w:b/>
          <w:sz w:val="24"/>
          <w:szCs w:val="24"/>
        </w:rPr>
      </w:pPr>
      <w:bookmarkStart w:id="147" w:name="_Toc27892"/>
      <w:r>
        <w:rPr>
          <w:rFonts w:ascii="宋体" w:hAnsi="宋体" w:eastAsia="宋体"/>
          <w:b/>
          <w:sz w:val="24"/>
          <w:szCs w:val="24"/>
        </w:rPr>
        <w:t>4.3 响应文件的修改与撤回</w:t>
      </w:r>
      <w:bookmarkEnd w:id="147"/>
    </w:p>
    <w:p>
      <w:pPr>
        <w:spacing w:line="360" w:lineRule="auto"/>
        <w:ind w:firstLine="480" w:firstLineChars="200"/>
        <w:outlineLvl w:val="0"/>
        <w:rPr>
          <w:rFonts w:ascii="宋体" w:hAnsi="宋体" w:eastAsia="宋体"/>
          <w:sz w:val="24"/>
          <w:szCs w:val="24"/>
        </w:rPr>
      </w:pPr>
      <w:bookmarkStart w:id="148" w:name="_Toc11930"/>
      <w:r>
        <w:rPr>
          <w:rFonts w:ascii="宋体" w:hAnsi="宋体" w:eastAsia="宋体"/>
          <w:sz w:val="24"/>
          <w:szCs w:val="24"/>
        </w:rPr>
        <w:t>4.3.1 在本章第 4.2.1 项规定的提交响应文件截止时间前，供应商可以修改或撤回已提交的响应文件，但应以书面形式通知采购人。</w:t>
      </w:r>
      <w:bookmarkEnd w:id="148"/>
    </w:p>
    <w:p>
      <w:pPr>
        <w:spacing w:line="360" w:lineRule="auto"/>
        <w:ind w:firstLine="480" w:firstLineChars="200"/>
        <w:outlineLvl w:val="0"/>
        <w:rPr>
          <w:rFonts w:ascii="宋体" w:hAnsi="宋体" w:eastAsia="宋体"/>
          <w:sz w:val="24"/>
          <w:szCs w:val="24"/>
        </w:rPr>
      </w:pPr>
      <w:bookmarkStart w:id="149" w:name="_Toc19372"/>
      <w:r>
        <w:rPr>
          <w:rFonts w:ascii="宋体" w:hAnsi="宋体" w:eastAsia="宋体"/>
          <w:sz w:val="24"/>
          <w:szCs w:val="24"/>
        </w:rPr>
        <w:t>4.3.2供应商修改或撤回已提交响应文件的书面通知应按照本章第 3.7.3项的要求签字或盖章。采购人收到书面通知后，向供应商出具签收凭证。</w:t>
      </w:r>
      <w:bookmarkEnd w:id="149"/>
    </w:p>
    <w:p>
      <w:pPr>
        <w:spacing w:line="360" w:lineRule="auto"/>
        <w:ind w:firstLine="480" w:firstLineChars="200"/>
        <w:outlineLvl w:val="0"/>
        <w:rPr>
          <w:rFonts w:ascii="宋体" w:hAnsi="宋体" w:eastAsia="宋体"/>
          <w:sz w:val="24"/>
          <w:szCs w:val="24"/>
        </w:rPr>
      </w:pPr>
      <w:bookmarkStart w:id="150" w:name="_Toc5463"/>
      <w:r>
        <w:rPr>
          <w:rFonts w:ascii="宋体" w:hAnsi="宋体" w:eastAsia="宋体"/>
          <w:sz w:val="24"/>
          <w:szCs w:val="24"/>
        </w:rPr>
        <w:t xml:space="preserve">4.3.3 供应商撤回响应文件的，采购人自收到供应商书面撤回通知之日起 5 </w:t>
      </w:r>
      <w:r>
        <w:rPr>
          <w:rFonts w:hint="eastAsia" w:ascii="宋体" w:hAnsi="宋体" w:eastAsia="宋体"/>
          <w:sz w:val="24"/>
          <w:szCs w:val="24"/>
        </w:rPr>
        <w:t>个工作</w:t>
      </w:r>
      <w:r>
        <w:rPr>
          <w:rFonts w:ascii="宋体" w:hAnsi="宋体" w:eastAsia="宋体"/>
          <w:sz w:val="24"/>
          <w:szCs w:val="24"/>
        </w:rPr>
        <w:t>日内退还已收取的磋商保证金。</w:t>
      </w:r>
      <w:bookmarkEnd w:id="150"/>
    </w:p>
    <w:p>
      <w:pPr>
        <w:spacing w:line="360" w:lineRule="auto"/>
        <w:ind w:firstLine="480" w:firstLineChars="200"/>
        <w:outlineLvl w:val="0"/>
        <w:rPr>
          <w:rFonts w:ascii="宋体" w:hAnsi="宋体" w:eastAsia="宋体"/>
          <w:sz w:val="24"/>
          <w:szCs w:val="24"/>
        </w:rPr>
      </w:pPr>
      <w:bookmarkStart w:id="151" w:name="_Toc16609"/>
      <w:r>
        <w:rPr>
          <w:rFonts w:ascii="宋体" w:hAnsi="宋体" w:eastAsia="宋体"/>
          <w:sz w:val="24"/>
          <w:szCs w:val="24"/>
        </w:rPr>
        <w:t>4.3.4 修改的内容为响应文件的组成部分。修改的响应文件应按照本章第 3 条、第 4 条的规定进行编制、密封、标记和提交，并标明“修改”字样。</w:t>
      </w:r>
      <w:bookmarkEnd w:id="151"/>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5、磋商</w:t>
      </w:r>
    </w:p>
    <w:p>
      <w:pPr>
        <w:spacing w:line="360" w:lineRule="auto"/>
        <w:outlineLvl w:val="0"/>
        <w:rPr>
          <w:rFonts w:ascii="宋体" w:hAnsi="宋体" w:eastAsia="宋体"/>
          <w:b/>
          <w:sz w:val="24"/>
          <w:szCs w:val="24"/>
        </w:rPr>
      </w:pPr>
      <w:bookmarkStart w:id="152" w:name="_Toc8973"/>
      <w:r>
        <w:rPr>
          <w:rFonts w:ascii="宋体" w:hAnsi="宋体" w:eastAsia="宋体"/>
          <w:b/>
          <w:sz w:val="24"/>
          <w:szCs w:val="24"/>
        </w:rPr>
        <w:t xml:space="preserve">5.1 </w:t>
      </w:r>
      <w:r>
        <w:rPr>
          <w:rFonts w:hint="eastAsia" w:ascii="宋体" w:hAnsi="宋体" w:eastAsia="宋体"/>
          <w:b/>
          <w:sz w:val="24"/>
          <w:szCs w:val="24"/>
        </w:rPr>
        <w:t>磋商开启</w:t>
      </w:r>
      <w:r>
        <w:rPr>
          <w:rFonts w:ascii="宋体" w:hAnsi="宋体" w:eastAsia="宋体"/>
          <w:b/>
          <w:sz w:val="24"/>
          <w:szCs w:val="24"/>
        </w:rPr>
        <w:t>时间和地点</w:t>
      </w:r>
      <w:bookmarkEnd w:id="152"/>
    </w:p>
    <w:p>
      <w:pPr>
        <w:spacing w:line="360" w:lineRule="auto"/>
        <w:ind w:firstLine="480" w:firstLineChars="200"/>
        <w:outlineLvl w:val="0"/>
        <w:rPr>
          <w:rFonts w:ascii="宋体" w:hAnsi="宋体" w:eastAsia="宋体"/>
          <w:sz w:val="24"/>
          <w:szCs w:val="24"/>
        </w:rPr>
      </w:pPr>
      <w:bookmarkStart w:id="153" w:name="_Toc4830"/>
      <w:r>
        <w:rPr>
          <w:rFonts w:ascii="宋体" w:hAnsi="宋体" w:eastAsia="宋体"/>
          <w:sz w:val="24"/>
          <w:szCs w:val="24"/>
        </w:rPr>
        <w:t>采购人在本章第 4.2.1 项规定的提交响应文件截止时间（</w:t>
      </w:r>
      <w:r>
        <w:rPr>
          <w:rFonts w:hint="eastAsia" w:ascii="宋体" w:hAnsi="宋体" w:eastAsia="宋体"/>
          <w:sz w:val="24"/>
          <w:szCs w:val="24"/>
        </w:rPr>
        <w:t>磋商开启</w:t>
      </w:r>
      <w:r>
        <w:rPr>
          <w:rFonts w:ascii="宋体" w:hAnsi="宋体" w:eastAsia="宋体"/>
          <w:sz w:val="24"/>
          <w:szCs w:val="24"/>
        </w:rPr>
        <w:t>时间）和供应商须知前附表规定的地点</w:t>
      </w:r>
      <w:r>
        <w:rPr>
          <w:rFonts w:hint="eastAsia" w:ascii="宋体" w:hAnsi="宋体" w:eastAsia="宋体"/>
          <w:sz w:val="24"/>
          <w:szCs w:val="24"/>
        </w:rPr>
        <w:t>开始磋商活动</w:t>
      </w:r>
      <w:r>
        <w:rPr>
          <w:rFonts w:ascii="宋体" w:hAnsi="宋体" w:eastAsia="宋体"/>
          <w:sz w:val="24"/>
          <w:szCs w:val="24"/>
        </w:rPr>
        <w:t>，并邀请所有供应商的</w:t>
      </w:r>
      <w:r>
        <w:rPr>
          <w:rFonts w:hint="eastAsia" w:ascii="宋体" w:hAnsi="宋体" w:eastAsia="宋体"/>
          <w:sz w:val="24"/>
          <w:szCs w:val="24"/>
        </w:rPr>
        <w:t>法定代表人或其委托代理人本人持身份证准时参加开标会议。</w:t>
      </w:r>
      <w:bookmarkEnd w:id="153"/>
    </w:p>
    <w:p>
      <w:pPr>
        <w:spacing w:line="360" w:lineRule="auto"/>
        <w:outlineLvl w:val="0"/>
        <w:rPr>
          <w:rFonts w:ascii="宋体" w:hAnsi="宋体" w:eastAsia="宋体"/>
          <w:b/>
          <w:sz w:val="24"/>
          <w:szCs w:val="24"/>
        </w:rPr>
      </w:pPr>
      <w:bookmarkStart w:id="154" w:name="_Toc29280"/>
      <w:r>
        <w:rPr>
          <w:rFonts w:hint="eastAsia" w:ascii="宋体" w:hAnsi="宋体" w:eastAsia="宋体"/>
          <w:b/>
          <w:sz w:val="24"/>
          <w:szCs w:val="24"/>
        </w:rPr>
        <w:t>5.2磋商程序</w:t>
      </w:r>
      <w:bookmarkEnd w:id="154"/>
    </w:p>
    <w:p>
      <w:pPr>
        <w:spacing w:line="360" w:lineRule="auto"/>
        <w:ind w:firstLine="470" w:firstLineChars="196"/>
        <w:rPr>
          <w:rFonts w:ascii="宋体" w:hAnsi="宋体" w:eastAsia="宋体"/>
          <w:sz w:val="24"/>
          <w:szCs w:val="24"/>
        </w:rPr>
      </w:pPr>
      <w:r>
        <w:rPr>
          <w:rFonts w:hint="eastAsia" w:ascii="宋体" w:hAnsi="宋体" w:eastAsia="宋体"/>
          <w:sz w:val="24"/>
          <w:szCs w:val="24"/>
        </w:rPr>
        <w:t>5.2.1 磋商小组对响应文件的有效性、完整性和响应程度进行资格性审查及符合性审查。</w:t>
      </w:r>
    </w:p>
    <w:p>
      <w:pPr>
        <w:spacing w:line="360" w:lineRule="auto"/>
        <w:ind w:firstLine="470" w:firstLineChars="196"/>
        <w:rPr>
          <w:rFonts w:ascii="宋体" w:hAnsi="宋体" w:eastAsia="宋体" w:cs="宋体"/>
          <w:sz w:val="24"/>
          <w:szCs w:val="24"/>
        </w:rPr>
      </w:pPr>
      <w:r>
        <w:rPr>
          <w:rFonts w:hint="eastAsia" w:ascii="宋体" w:hAnsi="宋体" w:eastAsia="宋体"/>
          <w:sz w:val="24"/>
          <w:szCs w:val="24"/>
        </w:rPr>
        <w:t>5.2.2磋商小组所有成员集中与单一供应商分别进行磋商，并给予所有参加磋商的供应商平等的磋商机会。</w:t>
      </w:r>
    </w:p>
    <w:p>
      <w:pPr>
        <w:spacing w:line="360" w:lineRule="auto"/>
        <w:ind w:firstLine="468" w:firstLineChars="195"/>
        <w:rPr>
          <w:rFonts w:ascii="宋体" w:hAnsi="宋体" w:eastAsia="宋体"/>
          <w:sz w:val="24"/>
          <w:szCs w:val="24"/>
        </w:rPr>
      </w:pPr>
      <w:r>
        <w:rPr>
          <w:rFonts w:hint="eastAsia" w:ascii="宋体" w:hAnsi="宋体" w:eastAsia="宋体" w:cs="宋体"/>
          <w:sz w:val="24"/>
          <w:szCs w:val="24"/>
        </w:rPr>
        <w:t>5.2.3</w:t>
      </w:r>
      <w:r>
        <w:rPr>
          <w:rFonts w:hint="eastAsia" w:ascii="宋体" w:hAnsi="宋体" w:eastAsia="宋体"/>
          <w:sz w:val="24"/>
          <w:szCs w:val="24"/>
        </w:rPr>
        <w:t>在磋商过程中，磋商小组可以根据磋商文件和磋商情况实质性变动委托人要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w:t>
      </w:r>
    </w:p>
    <w:p>
      <w:pPr>
        <w:spacing w:line="360" w:lineRule="auto"/>
        <w:ind w:firstLine="470" w:firstLineChars="196"/>
        <w:rPr>
          <w:rFonts w:ascii="宋体" w:hAnsi="宋体" w:eastAsia="宋体"/>
          <w:sz w:val="24"/>
          <w:szCs w:val="24"/>
        </w:rPr>
      </w:pPr>
      <w:r>
        <w:rPr>
          <w:rFonts w:hint="eastAsia" w:ascii="宋体" w:hAnsi="宋体" w:eastAsia="宋体" w:cs="宋体"/>
          <w:sz w:val="24"/>
          <w:szCs w:val="24"/>
        </w:rPr>
        <w:t>5.2.4</w:t>
      </w:r>
      <w:r>
        <w:rPr>
          <w:rFonts w:hint="eastAsia" w:ascii="宋体" w:hAnsi="宋体" w:eastAsia="宋体"/>
          <w:sz w:val="24"/>
          <w:szCs w:val="24"/>
        </w:rPr>
        <w:t>供应商应当按照磋商文件的变动情况和磋商小组的要求重新提交响应文件（如果有），并由其法定代表人或其授权代表签字或者加盖公章。</w:t>
      </w:r>
    </w:p>
    <w:p>
      <w:pPr>
        <w:spacing w:line="360" w:lineRule="auto"/>
        <w:rPr>
          <w:rFonts w:ascii="宋体" w:hAnsi="宋体" w:eastAsia="宋体"/>
          <w:sz w:val="24"/>
          <w:szCs w:val="24"/>
        </w:rPr>
      </w:pPr>
      <w:r>
        <w:rPr>
          <w:rFonts w:hint="eastAsia" w:ascii="宋体" w:hAnsi="宋体" w:eastAsia="宋体" w:cs="宋体"/>
          <w:sz w:val="24"/>
          <w:szCs w:val="24"/>
        </w:rPr>
        <w:t>　　5.2.5</w:t>
      </w:r>
      <w:r>
        <w:rPr>
          <w:rFonts w:hint="eastAsia" w:ascii="宋体" w:hAnsi="宋体" w:eastAsia="宋体"/>
          <w:sz w:val="24"/>
          <w:szCs w:val="24"/>
        </w:rPr>
        <w:t>磋商文件能够详细列明采购项目的技术、服务要求后，磋商小组要求所有实质性响应的供应商在规定时间内提交最后报价。通过资格性审查及符合性审查的供应商有均等的最后报价机会，供应商应在磋商小组规定的时间内完成报价。每一轮报价全部为书面形式，并须由供应商法定代表人或其委托代理人签字或者加盖公章，作为响应文件的一部分，对供应商具有约束力。</w:t>
      </w:r>
    </w:p>
    <w:p>
      <w:pPr>
        <w:spacing w:line="360" w:lineRule="auto"/>
        <w:ind w:firstLine="480" w:firstLineChars="200"/>
        <w:rPr>
          <w:rFonts w:ascii="宋体" w:hAnsi="宋体" w:eastAsia="宋体"/>
          <w:sz w:val="24"/>
          <w:szCs w:val="24"/>
        </w:rPr>
      </w:pPr>
      <w:r>
        <w:rPr>
          <w:rFonts w:hint="eastAsia" w:ascii="宋体" w:hAnsi="宋体" w:eastAsia="宋体"/>
          <w:sz w:val="24"/>
          <w:szCs w:val="24"/>
        </w:rPr>
        <w:t>在未对磋商文件作出实质性变动的情况下，供应商提交的最后报价不得高于其前一次报价。在磋商文件作出实质性变动但供应商的响应文件未作出相应实质性变动的情况下，该供应商提交的最后报价也不得高于其前一次报价。</w:t>
      </w:r>
    </w:p>
    <w:p>
      <w:pPr>
        <w:spacing w:line="360" w:lineRule="auto"/>
        <w:ind w:firstLine="480" w:firstLineChars="200"/>
        <w:rPr>
          <w:rFonts w:ascii="宋体" w:hAnsi="宋体" w:eastAsia="宋体"/>
          <w:b/>
          <w:sz w:val="24"/>
          <w:szCs w:val="24"/>
        </w:rPr>
      </w:pPr>
      <w:r>
        <w:rPr>
          <w:rFonts w:hint="eastAsia" w:ascii="宋体" w:hAnsi="宋体" w:eastAsia="宋体" w:cs="宋体"/>
          <w:sz w:val="24"/>
          <w:szCs w:val="24"/>
        </w:rPr>
        <w:t>5.2.6</w:t>
      </w:r>
      <w:r>
        <w:rPr>
          <w:rFonts w:hint="eastAsia" w:ascii="宋体" w:hAnsi="宋体" w:eastAsia="宋体"/>
          <w:sz w:val="24"/>
          <w:szCs w:val="24"/>
        </w:rPr>
        <w:t>最后报价是供应商响应文件的有效组成部分，未按要求进行最后报价的，其响应文件将被否决。</w:t>
      </w:r>
    </w:p>
    <w:p>
      <w:pPr>
        <w:spacing w:line="360" w:lineRule="auto"/>
        <w:ind w:firstLine="540" w:firstLineChars="225"/>
        <w:rPr>
          <w:rFonts w:ascii="宋体" w:hAnsi="宋体" w:eastAsia="宋体"/>
          <w:sz w:val="24"/>
          <w:szCs w:val="24"/>
        </w:rPr>
      </w:pPr>
      <w:r>
        <w:rPr>
          <w:rFonts w:hint="eastAsia" w:ascii="宋体" w:hAnsi="宋体" w:eastAsia="宋体"/>
          <w:sz w:val="24"/>
          <w:szCs w:val="24"/>
        </w:rPr>
        <w:t>5.2.7经磋商确定最终服务需求和提交最后报价的供应商后，由磋商小组采用综合评分法对提交最后报价的供应商的响应文件和最后报价进行综合评分。</w:t>
      </w:r>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6、</w:t>
      </w:r>
      <w:r>
        <w:rPr>
          <w:rFonts w:ascii="宋体" w:hAnsi="宋体" w:eastAsia="宋体" w:cs="黑体"/>
          <w:b/>
          <w:bCs/>
          <w:sz w:val="24"/>
          <w:szCs w:val="24"/>
        </w:rPr>
        <w:t>评审</w:t>
      </w:r>
    </w:p>
    <w:p>
      <w:pPr>
        <w:spacing w:line="360" w:lineRule="auto"/>
        <w:outlineLvl w:val="0"/>
        <w:rPr>
          <w:rFonts w:ascii="宋体" w:hAnsi="宋体" w:eastAsia="宋体"/>
          <w:b/>
          <w:sz w:val="24"/>
          <w:szCs w:val="24"/>
        </w:rPr>
      </w:pPr>
      <w:bookmarkStart w:id="155" w:name="_Toc12586"/>
      <w:r>
        <w:rPr>
          <w:rFonts w:ascii="宋体" w:hAnsi="宋体" w:eastAsia="宋体"/>
          <w:b/>
          <w:sz w:val="24"/>
          <w:szCs w:val="24"/>
        </w:rPr>
        <w:t>6.1磋商小组</w:t>
      </w:r>
      <w:bookmarkEnd w:id="155"/>
    </w:p>
    <w:p>
      <w:pPr>
        <w:spacing w:line="360" w:lineRule="auto"/>
        <w:ind w:firstLine="480" w:firstLineChars="200"/>
        <w:outlineLvl w:val="0"/>
        <w:rPr>
          <w:rFonts w:ascii="宋体" w:hAnsi="宋体" w:eastAsia="宋体"/>
          <w:sz w:val="24"/>
          <w:szCs w:val="24"/>
        </w:rPr>
      </w:pPr>
      <w:bookmarkStart w:id="156" w:name="_Toc24136"/>
      <w:r>
        <w:rPr>
          <w:rFonts w:ascii="宋体" w:hAnsi="宋体" w:eastAsia="宋体"/>
          <w:sz w:val="24"/>
          <w:szCs w:val="24"/>
        </w:rPr>
        <w:t>6.1.1评审由采购人依法组建的磋商小组负责。磋商小组由采购人代表以及</w:t>
      </w:r>
      <w:r>
        <w:rPr>
          <w:rFonts w:hint="eastAsia" w:ascii="宋体" w:hAnsi="宋体" w:eastAsia="宋体"/>
          <w:sz w:val="24"/>
          <w:szCs w:val="24"/>
        </w:rPr>
        <w:t>评审专家</w:t>
      </w:r>
      <w:r>
        <w:rPr>
          <w:rFonts w:ascii="宋体" w:hAnsi="宋体" w:eastAsia="宋体"/>
          <w:sz w:val="24"/>
          <w:szCs w:val="24"/>
        </w:rPr>
        <w:t>组成。磋商小组成员人数以及</w:t>
      </w:r>
      <w:r>
        <w:rPr>
          <w:rFonts w:hint="eastAsia" w:ascii="宋体" w:hAnsi="宋体" w:eastAsia="宋体"/>
          <w:sz w:val="24"/>
          <w:szCs w:val="24"/>
        </w:rPr>
        <w:t>评审</w:t>
      </w:r>
      <w:r>
        <w:rPr>
          <w:rFonts w:ascii="宋体" w:hAnsi="宋体" w:eastAsia="宋体"/>
          <w:sz w:val="24"/>
          <w:szCs w:val="24"/>
        </w:rPr>
        <w:t>专家的确定方式见供应商须知前附表。</w:t>
      </w:r>
      <w:bookmarkEnd w:id="156"/>
    </w:p>
    <w:p>
      <w:pPr>
        <w:spacing w:line="360" w:lineRule="auto"/>
        <w:ind w:firstLine="480" w:firstLineChars="200"/>
        <w:outlineLvl w:val="0"/>
        <w:rPr>
          <w:rFonts w:ascii="宋体" w:hAnsi="宋体" w:eastAsia="宋体"/>
          <w:sz w:val="24"/>
          <w:szCs w:val="24"/>
        </w:rPr>
      </w:pPr>
      <w:bookmarkStart w:id="157" w:name="_Toc22062"/>
      <w:r>
        <w:rPr>
          <w:rFonts w:ascii="宋体" w:hAnsi="宋体" w:eastAsia="宋体"/>
          <w:sz w:val="24"/>
          <w:szCs w:val="24"/>
        </w:rPr>
        <w:t>6.1.2 磋商小组成员有下列情形之一的，应当回避：</w:t>
      </w:r>
      <w:bookmarkEnd w:id="157"/>
    </w:p>
    <w:p>
      <w:pPr>
        <w:spacing w:line="360" w:lineRule="auto"/>
        <w:ind w:firstLine="480" w:firstLineChars="200"/>
        <w:outlineLvl w:val="0"/>
        <w:rPr>
          <w:rFonts w:ascii="宋体" w:hAnsi="宋体" w:eastAsia="宋体"/>
          <w:sz w:val="24"/>
          <w:szCs w:val="24"/>
        </w:rPr>
      </w:pPr>
      <w:bookmarkStart w:id="158" w:name="_Toc32176"/>
      <w:r>
        <w:rPr>
          <w:rFonts w:hint="eastAsia" w:ascii="宋体" w:hAnsi="宋体" w:eastAsia="宋体"/>
          <w:sz w:val="24"/>
          <w:szCs w:val="24"/>
        </w:rPr>
        <w:t>（1）参加采购活动前3年内与供应商存在劳动关系；</w:t>
      </w:r>
      <w:bookmarkEnd w:id="158"/>
    </w:p>
    <w:p>
      <w:pPr>
        <w:spacing w:line="360" w:lineRule="auto"/>
        <w:ind w:firstLine="480" w:firstLineChars="200"/>
        <w:outlineLvl w:val="0"/>
        <w:rPr>
          <w:rFonts w:ascii="宋体" w:hAnsi="宋体" w:eastAsia="宋体"/>
          <w:sz w:val="24"/>
          <w:szCs w:val="24"/>
        </w:rPr>
      </w:pPr>
      <w:bookmarkStart w:id="159" w:name="_Toc29373"/>
      <w:r>
        <w:rPr>
          <w:rFonts w:hint="eastAsia" w:ascii="宋体" w:hAnsi="宋体" w:eastAsia="宋体"/>
          <w:sz w:val="24"/>
          <w:szCs w:val="24"/>
        </w:rPr>
        <w:t>（2）参加采购活动前3年内担任供应商的董事、监事；</w:t>
      </w:r>
      <w:bookmarkEnd w:id="159"/>
    </w:p>
    <w:p>
      <w:pPr>
        <w:spacing w:line="360" w:lineRule="auto"/>
        <w:ind w:firstLine="480" w:firstLineChars="200"/>
        <w:outlineLvl w:val="0"/>
        <w:rPr>
          <w:rFonts w:ascii="宋体" w:hAnsi="宋体" w:eastAsia="宋体"/>
          <w:sz w:val="24"/>
          <w:szCs w:val="24"/>
        </w:rPr>
      </w:pPr>
      <w:bookmarkStart w:id="160" w:name="_Toc17742"/>
      <w:r>
        <w:rPr>
          <w:rFonts w:hint="eastAsia" w:ascii="宋体" w:hAnsi="宋体" w:eastAsia="宋体"/>
          <w:sz w:val="24"/>
          <w:szCs w:val="24"/>
        </w:rPr>
        <w:t>（3）参加采购活动前3年内是供应商的控股股东或者实际控制人；</w:t>
      </w:r>
      <w:bookmarkEnd w:id="160"/>
    </w:p>
    <w:p>
      <w:pPr>
        <w:spacing w:line="360" w:lineRule="auto"/>
        <w:ind w:firstLine="480" w:firstLineChars="200"/>
        <w:outlineLvl w:val="0"/>
        <w:rPr>
          <w:rFonts w:ascii="宋体" w:hAnsi="宋体" w:eastAsia="宋体"/>
          <w:sz w:val="24"/>
          <w:szCs w:val="24"/>
        </w:rPr>
      </w:pPr>
      <w:bookmarkStart w:id="161" w:name="_Toc6945"/>
      <w:r>
        <w:rPr>
          <w:rFonts w:hint="eastAsia" w:ascii="宋体" w:hAnsi="宋体" w:eastAsia="宋体"/>
          <w:sz w:val="24"/>
          <w:szCs w:val="24"/>
        </w:rPr>
        <w:t>（4）与供应商的法定代表人或者负责人有夫妻、直系血亲、三代以内旁系血亲或者近姻亲关系；</w:t>
      </w:r>
      <w:bookmarkEnd w:id="161"/>
    </w:p>
    <w:p>
      <w:pPr>
        <w:spacing w:line="360" w:lineRule="auto"/>
        <w:ind w:firstLine="480" w:firstLineChars="200"/>
        <w:outlineLvl w:val="0"/>
        <w:rPr>
          <w:rFonts w:ascii="宋体" w:hAnsi="宋体" w:eastAsia="宋体"/>
          <w:sz w:val="24"/>
          <w:szCs w:val="24"/>
        </w:rPr>
      </w:pPr>
      <w:bookmarkStart w:id="162" w:name="_Toc18696"/>
      <w:r>
        <w:rPr>
          <w:rFonts w:hint="eastAsia" w:ascii="宋体" w:hAnsi="宋体" w:eastAsia="宋体"/>
          <w:sz w:val="24"/>
          <w:szCs w:val="24"/>
        </w:rPr>
        <w:t>（5）与供应商有其他可能影响政府采购活动公平、公正进行的关系。</w:t>
      </w:r>
      <w:bookmarkEnd w:id="162"/>
    </w:p>
    <w:p>
      <w:pPr>
        <w:spacing w:line="360" w:lineRule="auto"/>
        <w:ind w:firstLine="480" w:firstLineChars="200"/>
        <w:outlineLvl w:val="0"/>
        <w:rPr>
          <w:rFonts w:ascii="宋体" w:hAnsi="宋体" w:eastAsia="宋体"/>
          <w:sz w:val="24"/>
          <w:szCs w:val="24"/>
        </w:rPr>
      </w:pPr>
      <w:bookmarkStart w:id="163" w:name="_Toc10592"/>
      <w:r>
        <w:rPr>
          <w:rFonts w:ascii="宋体" w:hAnsi="宋体" w:eastAsia="宋体"/>
          <w:sz w:val="24"/>
          <w:szCs w:val="24"/>
        </w:rPr>
        <w:t>6.1.3 评审过程中，磋商小组成员有回避事由、擅离职守或者因健康等原因不能继续评审的，采购人有权更换。被更换的磋商小组成员作出的评审结论无效，由更换后的磋商小组成员重新进行评审。</w:t>
      </w:r>
      <w:bookmarkEnd w:id="163"/>
    </w:p>
    <w:p>
      <w:pPr>
        <w:spacing w:line="360" w:lineRule="auto"/>
        <w:outlineLvl w:val="0"/>
        <w:rPr>
          <w:rFonts w:ascii="宋体" w:hAnsi="宋体" w:eastAsia="宋体"/>
          <w:b/>
          <w:sz w:val="24"/>
          <w:szCs w:val="24"/>
        </w:rPr>
      </w:pPr>
      <w:bookmarkStart w:id="164" w:name="_Toc8602"/>
      <w:r>
        <w:rPr>
          <w:rFonts w:ascii="宋体" w:hAnsi="宋体" w:eastAsia="宋体"/>
          <w:b/>
          <w:sz w:val="24"/>
          <w:szCs w:val="24"/>
        </w:rPr>
        <w:t>6.2评审原则</w:t>
      </w:r>
      <w:bookmarkEnd w:id="164"/>
    </w:p>
    <w:p>
      <w:pPr>
        <w:spacing w:line="360" w:lineRule="auto"/>
        <w:ind w:firstLine="480" w:firstLineChars="200"/>
        <w:outlineLvl w:val="0"/>
        <w:rPr>
          <w:rFonts w:ascii="宋体" w:hAnsi="宋体" w:eastAsia="宋体"/>
          <w:sz w:val="24"/>
          <w:szCs w:val="24"/>
        </w:rPr>
      </w:pPr>
      <w:bookmarkStart w:id="165" w:name="_Toc9940"/>
      <w:r>
        <w:rPr>
          <w:rFonts w:hint="eastAsia" w:ascii="宋体" w:hAnsi="宋体" w:eastAsia="宋体"/>
          <w:sz w:val="24"/>
          <w:szCs w:val="24"/>
        </w:rPr>
        <w:t>6.2.1</w:t>
      </w:r>
      <w:r>
        <w:rPr>
          <w:rFonts w:ascii="宋体" w:hAnsi="宋体" w:eastAsia="宋体"/>
          <w:sz w:val="24"/>
          <w:szCs w:val="24"/>
        </w:rPr>
        <w:t>评审活动遵循公平、公正、科学和择优的原则。</w:t>
      </w:r>
      <w:bookmarkEnd w:id="165"/>
      <w:bookmarkStart w:id="166" w:name="page30"/>
      <w:bookmarkEnd w:id="166"/>
    </w:p>
    <w:p>
      <w:pPr>
        <w:spacing w:line="360" w:lineRule="auto"/>
        <w:ind w:firstLine="480" w:firstLineChars="200"/>
        <w:outlineLvl w:val="0"/>
        <w:rPr>
          <w:rFonts w:ascii="宋体" w:hAnsi="宋体" w:eastAsia="宋体"/>
          <w:sz w:val="24"/>
          <w:szCs w:val="24"/>
        </w:rPr>
      </w:pPr>
      <w:bookmarkStart w:id="167" w:name="_Toc24671"/>
      <w:r>
        <w:rPr>
          <w:rFonts w:ascii="宋体" w:hAnsi="宋体" w:eastAsia="宋体"/>
          <w:sz w:val="24"/>
          <w:szCs w:val="24"/>
        </w:rPr>
        <w:t>6.</w:t>
      </w:r>
      <w:r>
        <w:rPr>
          <w:rFonts w:hint="eastAsia" w:ascii="宋体" w:hAnsi="宋体" w:eastAsia="宋体"/>
          <w:sz w:val="24"/>
          <w:szCs w:val="24"/>
        </w:rPr>
        <w:t>2.2</w:t>
      </w:r>
      <w:r>
        <w:rPr>
          <w:rFonts w:ascii="宋体" w:hAnsi="宋体" w:eastAsia="宋体"/>
          <w:sz w:val="24"/>
          <w:szCs w:val="24"/>
        </w:rPr>
        <w:t>磋商小组按照第</w:t>
      </w:r>
      <w:r>
        <w:rPr>
          <w:rFonts w:hint="eastAsia" w:ascii="宋体" w:hAnsi="宋体" w:eastAsia="宋体"/>
          <w:sz w:val="24"/>
          <w:szCs w:val="24"/>
        </w:rPr>
        <w:t>三</w:t>
      </w:r>
      <w:r>
        <w:rPr>
          <w:rFonts w:ascii="宋体" w:hAnsi="宋体" w:eastAsia="宋体"/>
          <w:sz w:val="24"/>
          <w:szCs w:val="24"/>
        </w:rPr>
        <w:t>章“</w:t>
      </w:r>
      <w:r>
        <w:rPr>
          <w:rFonts w:hint="eastAsia" w:ascii="宋体" w:hAnsi="宋体" w:eastAsia="宋体"/>
          <w:sz w:val="24"/>
          <w:szCs w:val="24"/>
        </w:rPr>
        <w:t>评审办法</w:t>
      </w:r>
      <w:r>
        <w:rPr>
          <w:rFonts w:ascii="宋体" w:hAnsi="宋体" w:eastAsia="宋体"/>
          <w:sz w:val="24"/>
          <w:szCs w:val="24"/>
        </w:rPr>
        <w:t>”规定的方法、评审因素、标准和程序</w:t>
      </w:r>
      <w:r>
        <w:rPr>
          <w:rFonts w:hint="eastAsia" w:ascii="宋体" w:hAnsi="宋体" w:eastAsia="宋体"/>
          <w:sz w:val="24"/>
          <w:szCs w:val="24"/>
        </w:rPr>
        <w:t>对供应商进行</w:t>
      </w:r>
      <w:r>
        <w:rPr>
          <w:rFonts w:ascii="宋体" w:hAnsi="宋体" w:eastAsia="宋体"/>
          <w:sz w:val="24"/>
          <w:szCs w:val="24"/>
        </w:rPr>
        <w:t>评审。第</w:t>
      </w:r>
      <w:r>
        <w:rPr>
          <w:rFonts w:hint="eastAsia" w:ascii="宋体" w:hAnsi="宋体" w:eastAsia="宋体"/>
          <w:sz w:val="24"/>
          <w:szCs w:val="24"/>
        </w:rPr>
        <w:t>三</w:t>
      </w:r>
      <w:r>
        <w:rPr>
          <w:rFonts w:ascii="宋体" w:hAnsi="宋体" w:eastAsia="宋体"/>
          <w:sz w:val="24"/>
          <w:szCs w:val="24"/>
        </w:rPr>
        <w:t>章“</w:t>
      </w:r>
      <w:r>
        <w:rPr>
          <w:rFonts w:hint="eastAsia" w:ascii="宋体" w:hAnsi="宋体" w:eastAsia="宋体"/>
          <w:sz w:val="24"/>
          <w:szCs w:val="24"/>
        </w:rPr>
        <w:t>评审办法</w:t>
      </w:r>
      <w:r>
        <w:rPr>
          <w:rFonts w:ascii="宋体" w:hAnsi="宋体" w:eastAsia="宋体"/>
          <w:sz w:val="24"/>
          <w:szCs w:val="24"/>
        </w:rPr>
        <w:t>”没有规定的方法、评审因素和标准，不作为评审依据。</w:t>
      </w:r>
      <w:bookmarkEnd w:id="167"/>
    </w:p>
    <w:p>
      <w:pPr>
        <w:spacing w:line="360" w:lineRule="auto"/>
        <w:ind w:firstLine="480" w:firstLineChars="200"/>
        <w:outlineLvl w:val="0"/>
        <w:rPr>
          <w:rFonts w:ascii="宋体" w:hAnsi="宋体" w:eastAsia="宋体"/>
          <w:sz w:val="24"/>
          <w:szCs w:val="24"/>
        </w:rPr>
      </w:pPr>
      <w:bookmarkStart w:id="168" w:name="_Toc24392"/>
      <w:r>
        <w:rPr>
          <w:rFonts w:ascii="宋体" w:hAnsi="宋体" w:eastAsia="宋体"/>
          <w:sz w:val="24"/>
          <w:szCs w:val="24"/>
        </w:rPr>
        <w:t>6.2</w:t>
      </w:r>
      <w:r>
        <w:rPr>
          <w:rFonts w:hint="eastAsia" w:ascii="宋体" w:hAnsi="宋体" w:eastAsia="宋体"/>
          <w:sz w:val="24"/>
          <w:szCs w:val="24"/>
        </w:rPr>
        <w:t>.</w:t>
      </w:r>
      <w:r>
        <w:rPr>
          <w:rFonts w:ascii="宋体" w:hAnsi="宋体" w:eastAsia="宋体"/>
          <w:sz w:val="24"/>
          <w:szCs w:val="24"/>
        </w:rPr>
        <w:t>3评审完成后，磋商小组应当提交书面评审报告和成交候选人名单。磋商小组推荐成交候选人的人数见供应商须知前附表。</w:t>
      </w:r>
      <w:bookmarkEnd w:id="168"/>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7、确定成交及</w:t>
      </w:r>
      <w:r>
        <w:rPr>
          <w:rFonts w:ascii="宋体" w:hAnsi="宋体" w:eastAsia="宋体" w:cs="黑体"/>
          <w:b/>
          <w:bCs/>
          <w:sz w:val="24"/>
          <w:szCs w:val="24"/>
        </w:rPr>
        <w:t>合同授予</w:t>
      </w:r>
    </w:p>
    <w:p>
      <w:pPr>
        <w:spacing w:line="360" w:lineRule="auto"/>
        <w:outlineLvl w:val="0"/>
        <w:rPr>
          <w:rFonts w:ascii="宋体" w:hAnsi="宋体" w:eastAsia="宋体"/>
          <w:b/>
          <w:sz w:val="24"/>
          <w:szCs w:val="24"/>
        </w:rPr>
      </w:pPr>
      <w:bookmarkStart w:id="169" w:name="_Toc2660"/>
      <w:r>
        <w:rPr>
          <w:rFonts w:ascii="宋体" w:hAnsi="宋体" w:eastAsia="宋体"/>
          <w:b/>
          <w:sz w:val="24"/>
          <w:szCs w:val="24"/>
        </w:rPr>
        <w:t>7.</w:t>
      </w:r>
      <w:r>
        <w:rPr>
          <w:rFonts w:hint="eastAsia" w:ascii="宋体" w:hAnsi="宋体" w:eastAsia="宋体"/>
          <w:b/>
          <w:sz w:val="24"/>
          <w:szCs w:val="24"/>
        </w:rPr>
        <w:t>1确定成交的原则</w:t>
      </w:r>
      <w:bookmarkEnd w:id="169"/>
    </w:p>
    <w:p>
      <w:pPr>
        <w:spacing w:line="360" w:lineRule="auto"/>
        <w:ind w:firstLine="480" w:firstLineChars="200"/>
        <w:outlineLvl w:val="0"/>
        <w:rPr>
          <w:rFonts w:ascii="宋体" w:hAnsi="宋体" w:eastAsia="宋体"/>
          <w:sz w:val="24"/>
          <w:szCs w:val="24"/>
        </w:rPr>
      </w:pPr>
      <w:bookmarkStart w:id="170" w:name="_Toc21046"/>
      <w:r>
        <w:rPr>
          <w:rFonts w:hint="eastAsia" w:ascii="宋体" w:hAnsi="宋体" w:eastAsia="宋体"/>
          <w:sz w:val="24"/>
          <w:szCs w:val="24"/>
        </w:rPr>
        <w:t>7.1.1</w:t>
      </w:r>
      <w:r>
        <w:rPr>
          <w:rFonts w:ascii="宋体" w:hAnsi="宋体" w:eastAsia="宋体"/>
          <w:sz w:val="24"/>
          <w:szCs w:val="24"/>
        </w:rPr>
        <w:t>按照供应商须知前附表的规定，采购人或采购人授权的磋商小组依法确定成交供应商。</w:t>
      </w:r>
      <w:bookmarkEnd w:id="170"/>
    </w:p>
    <w:p>
      <w:pPr>
        <w:spacing w:line="360" w:lineRule="auto"/>
        <w:ind w:firstLine="480" w:firstLineChars="200"/>
        <w:outlineLvl w:val="0"/>
        <w:rPr>
          <w:rFonts w:ascii="宋体" w:hAnsi="宋体" w:eastAsia="宋体"/>
          <w:sz w:val="24"/>
          <w:szCs w:val="24"/>
        </w:rPr>
      </w:pPr>
      <w:bookmarkStart w:id="171" w:name="_Toc7484"/>
      <w:r>
        <w:rPr>
          <w:rFonts w:hint="eastAsia" w:ascii="宋体" w:hAnsi="宋体" w:eastAsia="宋体"/>
          <w:sz w:val="24"/>
          <w:szCs w:val="24"/>
        </w:rPr>
        <w:t>7.1.2磋商小组按供应商须知前附表的规定的原则确定成交供应商。</w:t>
      </w:r>
      <w:bookmarkEnd w:id="171"/>
    </w:p>
    <w:p>
      <w:pPr>
        <w:spacing w:line="360" w:lineRule="auto"/>
        <w:outlineLvl w:val="0"/>
        <w:rPr>
          <w:rFonts w:ascii="宋体" w:hAnsi="宋体" w:eastAsia="宋体"/>
          <w:b/>
          <w:sz w:val="24"/>
          <w:szCs w:val="24"/>
        </w:rPr>
      </w:pPr>
      <w:bookmarkStart w:id="172" w:name="_Toc6887"/>
      <w:r>
        <w:rPr>
          <w:rFonts w:ascii="宋体" w:hAnsi="宋体" w:eastAsia="宋体"/>
          <w:b/>
          <w:sz w:val="24"/>
          <w:szCs w:val="24"/>
        </w:rPr>
        <w:t>7.</w:t>
      </w:r>
      <w:r>
        <w:rPr>
          <w:rFonts w:hint="eastAsia" w:ascii="宋体" w:hAnsi="宋体" w:eastAsia="宋体"/>
          <w:b/>
          <w:sz w:val="24"/>
          <w:szCs w:val="24"/>
        </w:rPr>
        <w:t>2成交结果</w:t>
      </w:r>
      <w:bookmarkEnd w:id="172"/>
    </w:p>
    <w:p>
      <w:pPr>
        <w:spacing w:line="360" w:lineRule="auto"/>
        <w:ind w:firstLine="480" w:firstLineChars="200"/>
        <w:outlineLvl w:val="0"/>
        <w:rPr>
          <w:rFonts w:ascii="宋体" w:hAnsi="宋体" w:eastAsia="宋体"/>
          <w:sz w:val="24"/>
          <w:szCs w:val="24"/>
        </w:rPr>
      </w:pPr>
      <w:bookmarkStart w:id="173" w:name="_Toc29473"/>
      <w:r>
        <w:rPr>
          <w:rFonts w:hint="eastAsia" w:ascii="宋体" w:hAnsi="宋体" w:eastAsia="宋体"/>
          <w:sz w:val="24"/>
          <w:szCs w:val="24"/>
        </w:rPr>
        <w:t>自成交供应商确定之日起2个工作日内，在供应商须知前附表规定的媒体上公告成交结果，磋商文件随成交结果同时公告。</w:t>
      </w:r>
      <w:bookmarkEnd w:id="173"/>
    </w:p>
    <w:p>
      <w:pPr>
        <w:spacing w:line="360" w:lineRule="auto"/>
        <w:outlineLvl w:val="0"/>
        <w:rPr>
          <w:rFonts w:ascii="宋体" w:hAnsi="宋体" w:eastAsia="宋体"/>
          <w:b/>
          <w:sz w:val="24"/>
          <w:szCs w:val="24"/>
        </w:rPr>
      </w:pPr>
      <w:bookmarkStart w:id="174" w:name="_Toc28277"/>
      <w:r>
        <w:rPr>
          <w:rFonts w:ascii="宋体" w:hAnsi="宋体" w:eastAsia="宋体"/>
          <w:b/>
          <w:sz w:val="24"/>
          <w:szCs w:val="24"/>
        </w:rPr>
        <w:t>7.</w:t>
      </w:r>
      <w:r>
        <w:rPr>
          <w:rFonts w:hint="eastAsia" w:ascii="宋体" w:hAnsi="宋体" w:eastAsia="宋体"/>
          <w:b/>
          <w:sz w:val="24"/>
          <w:szCs w:val="24"/>
        </w:rPr>
        <w:t>3</w:t>
      </w:r>
      <w:r>
        <w:rPr>
          <w:rFonts w:ascii="宋体" w:hAnsi="宋体" w:eastAsia="宋体"/>
          <w:b/>
          <w:sz w:val="24"/>
          <w:szCs w:val="24"/>
        </w:rPr>
        <w:t xml:space="preserve"> 成交通知</w:t>
      </w:r>
      <w:bookmarkEnd w:id="174"/>
    </w:p>
    <w:p>
      <w:pPr>
        <w:spacing w:line="360" w:lineRule="auto"/>
        <w:ind w:firstLine="480" w:firstLineChars="200"/>
        <w:outlineLvl w:val="0"/>
        <w:rPr>
          <w:rFonts w:ascii="宋体" w:hAnsi="宋体" w:eastAsia="宋体"/>
          <w:sz w:val="24"/>
          <w:szCs w:val="24"/>
        </w:rPr>
      </w:pPr>
      <w:bookmarkStart w:id="175" w:name="_Toc18788"/>
      <w:r>
        <w:rPr>
          <w:rFonts w:hint="eastAsia" w:ascii="宋体" w:hAnsi="宋体" w:eastAsia="宋体"/>
          <w:sz w:val="24"/>
          <w:szCs w:val="24"/>
        </w:rPr>
        <w:t>成交供应商应在发布成交结果公告后的2个工作日内领取《成交通知书》，逾期未领的，视同第1个工作日内已领取。《成交通知书》对采购人和成交供应商均具有法律效力。</w:t>
      </w:r>
      <w:bookmarkEnd w:id="175"/>
    </w:p>
    <w:p>
      <w:pPr>
        <w:spacing w:line="360" w:lineRule="auto"/>
        <w:outlineLvl w:val="0"/>
        <w:rPr>
          <w:rFonts w:ascii="宋体" w:hAnsi="宋体" w:eastAsia="宋体"/>
          <w:b/>
          <w:sz w:val="24"/>
          <w:szCs w:val="24"/>
        </w:rPr>
      </w:pPr>
      <w:bookmarkStart w:id="176" w:name="_Toc1797"/>
      <w:r>
        <w:rPr>
          <w:rFonts w:ascii="宋体" w:hAnsi="宋体" w:eastAsia="宋体"/>
          <w:b/>
          <w:sz w:val="24"/>
          <w:szCs w:val="24"/>
        </w:rPr>
        <w:t>7.</w:t>
      </w:r>
      <w:r>
        <w:rPr>
          <w:rFonts w:hint="eastAsia" w:ascii="宋体" w:hAnsi="宋体" w:eastAsia="宋体"/>
          <w:b/>
          <w:sz w:val="24"/>
          <w:szCs w:val="24"/>
        </w:rPr>
        <w:t>4</w:t>
      </w:r>
      <w:r>
        <w:rPr>
          <w:rFonts w:ascii="宋体" w:hAnsi="宋体" w:eastAsia="宋体"/>
          <w:b/>
          <w:sz w:val="24"/>
          <w:szCs w:val="24"/>
        </w:rPr>
        <w:t xml:space="preserve"> 履约保证金</w:t>
      </w:r>
      <w:bookmarkEnd w:id="176"/>
    </w:p>
    <w:p>
      <w:pPr>
        <w:spacing w:line="360" w:lineRule="auto"/>
        <w:outlineLvl w:val="0"/>
        <w:rPr>
          <w:rFonts w:ascii="宋体" w:hAnsi="宋体" w:eastAsia="宋体"/>
          <w:b/>
          <w:sz w:val="24"/>
          <w:szCs w:val="24"/>
        </w:rPr>
      </w:pPr>
      <w:bookmarkStart w:id="177" w:name="_Toc841"/>
      <w:r>
        <w:rPr>
          <w:rFonts w:ascii="宋体" w:hAnsi="宋体" w:eastAsia="宋体"/>
          <w:b/>
          <w:sz w:val="24"/>
          <w:szCs w:val="24"/>
        </w:rPr>
        <w:t>7.</w:t>
      </w:r>
      <w:r>
        <w:rPr>
          <w:rFonts w:hint="eastAsia" w:ascii="宋体" w:hAnsi="宋体" w:eastAsia="宋体"/>
          <w:b/>
          <w:sz w:val="24"/>
          <w:szCs w:val="24"/>
        </w:rPr>
        <w:t>5</w:t>
      </w:r>
      <w:r>
        <w:rPr>
          <w:rFonts w:ascii="宋体" w:hAnsi="宋体" w:eastAsia="宋体"/>
          <w:b/>
          <w:sz w:val="24"/>
          <w:szCs w:val="24"/>
        </w:rPr>
        <w:t xml:space="preserve"> 签订合同</w:t>
      </w:r>
      <w:bookmarkEnd w:id="177"/>
    </w:p>
    <w:p>
      <w:pPr>
        <w:spacing w:line="360" w:lineRule="auto"/>
        <w:ind w:firstLine="480" w:firstLineChars="200"/>
        <w:outlineLvl w:val="0"/>
        <w:rPr>
          <w:rFonts w:ascii="宋体" w:hAnsi="宋体" w:eastAsia="宋体"/>
          <w:sz w:val="24"/>
          <w:szCs w:val="24"/>
        </w:rPr>
      </w:pPr>
      <w:bookmarkStart w:id="178" w:name="_Toc19894"/>
      <w:r>
        <w:rPr>
          <w:rFonts w:ascii="宋体" w:hAnsi="宋体" w:eastAsia="宋体"/>
          <w:sz w:val="24"/>
          <w:szCs w:val="24"/>
        </w:rPr>
        <w:t>7.</w:t>
      </w:r>
      <w:r>
        <w:rPr>
          <w:rFonts w:hint="eastAsia" w:ascii="宋体" w:hAnsi="宋体" w:eastAsia="宋体"/>
          <w:sz w:val="24"/>
          <w:szCs w:val="24"/>
        </w:rPr>
        <w:t>5</w:t>
      </w:r>
      <w:r>
        <w:rPr>
          <w:rFonts w:ascii="宋体" w:hAnsi="宋体" w:eastAsia="宋体"/>
          <w:sz w:val="24"/>
          <w:szCs w:val="24"/>
        </w:rPr>
        <w:t>.1 采购人和成交供应商应当在成交通知书发出之日起</w:t>
      </w:r>
      <w:r>
        <w:rPr>
          <w:rFonts w:hint="eastAsia" w:ascii="宋体" w:hAnsi="宋体" w:eastAsia="宋体"/>
          <w:sz w:val="24"/>
          <w:szCs w:val="24"/>
          <w:lang w:val="en-US" w:eastAsia="zh-CN"/>
        </w:rPr>
        <w:t>15</w:t>
      </w:r>
      <w:r>
        <w:rPr>
          <w:rFonts w:ascii="宋体" w:hAnsi="宋体" w:eastAsia="宋体"/>
          <w:sz w:val="24"/>
          <w:szCs w:val="24"/>
        </w:rPr>
        <w:t>日内，根据磋商文件和成交供应商的响应文件订立书面合同。成交供应商无正当理由拒签合同，在签订合同时向采购人提出附加条件，或者不按照磋商文件要求提交履约保证金的，采购人有权取消其成交资格；给采购人造成的损失的，成交供应商还应当予以赔偿。</w:t>
      </w:r>
      <w:bookmarkEnd w:id="178"/>
    </w:p>
    <w:p>
      <w:pPr>
        <w:widowControl/>
        <w:tabs>
          <w:tab w:val="left" w:pos="760"/>
        </w:tabs>
        <w:spacing w:line="360" w:lineRule="auto"/>
        <w:rPr>
          <w:rFonts w:ascii="宋体" w:hAnsi="宋体" w:eastAsia="宋体" w:cs="黑体"/>
          <w:b/>
          <w:bCs/>
          <w:sz w:val="24"/>
          <w:szCs w:val="24"/>
        </w:rPr>
      </w:pPr>
      <w:r>
        <w:rPr>
          <w:rFonts w:ascii="宋体" w:hAnsi="宋体" w:eastAsia="宋体" w:cs="黑体"/>
          <w:b/>
          <w:bCs/>
          <w:sz w:val="24"/>
          <w:szCs w:val="24"/>
        </w:rPr>
        <w:t>8</w:t>
      </w:r>
      <w:r>
        <w:rPr>
          <w:rFonts w:hint="eastAsia" w:ascii="宋体" w:hAnsi="宋体" w:eastAsia="宋体" w:cs="黑体"/>
          <w:b/>
          <w:bCs/>
          <w:sz w:val="24"/>
          <w:szCs w:val="24"/>
        </w:rPr>
        <w:t>、</w:t>
      </w:r>
      <w:r>
        <w:rPr>
          <w:rFonts w:ascii="宋体" w:hAnsi="宋体" w:eastAsia="宋体" w:cs="黑体"/>
          <w:b/>
          <w:bCs/>
          <w:sz w:val="24"/>
          <w:szCs w:val="24"/>
        </w:rPr>
        <w:t>纪律和监督</w:t>
      </w:r>
    </w:p>
    <w:p>
      <w:pPr>
        <w:spacing w:line="360" w:lineRule="auto"/>
        <w:outlineLvl w:val="0"/>
        <w:rPr>
          <w:rFonts w:ascii="宋体" w:hAnsi="宋体" w:eastAsia="宋体"/>
          <w:b/>
          <w:sz w:val="24"/>
          <w:szCs w:val="24"/>
        </w:rPr>
      </w:pPr>
      <w:bookmarkStart w:id="179" w:name="_Toc7004"/>
      <w:r>
        <w:rPr>
          <w:rFonts w:ascii="宋体" w:hAnsi="宋体" w:eastAsia="宋体"/>
          <w:b/>
          <w:sz w:val="24"/>
          <w:szCs w:val="24"/>
        </w:rPr>
        <w:t>8.1 对采购人的纪律要求</w:t>
      </w:r>
      <w:bookmarkEnd w:id="179"/>
    </w:p>
    <w:p>
      <w:pPr>
        <w:spacing w:line="360" w:lineRule="auto"/>
        <w:ind w:firstLine="480" w:firstLineChars="200"/>
        <w:outlineLvl w:val="0"/>
        <w:rPr>
          <w:rFonts w:ascii="宋体" w:hAnsi="宋体" w:eastAsia="宋体"/>
          <w:sz w:val="24"/>
          <w:szCs w:val="24"/>
        </w:rPr>
      </w:pPr>
      <w:bookmarkStart w:id="180" w:name="_Toc17417"/>
      <w:r>
        <w:rPr>
          <w:rFonts w:hint="eastAsia" w:ascii="宋体" w:hAnsi="宋体" w:eastAsia="宋体"/>
          <w:sz w:val="24"/>
          <w:szCs w:val="24"/>
        </w:rPr>
        <w:t>8.1.1不得以不合理的条件对供应商实行差别待遇或者歧视待遇，排斥其他供应商公平参与竞争；</w:t>
      </w:r>
      <w:bookmarkEnd w:id="180"/>
    </w:p>
    <w:p>
      <w:pPr>
        <w:spacing w:line="360" w:lineRule="auto"/>
        <w:ind w:firstLine="480" w:firstLineChars="200"/>
        <w:outlineLvl w:val="0"/>
        <w:rPr>
          <w:rFonts w:ascii="宋体" w:hAnsi="宋体" w:eastAsia="宋体"/>
          <w:sz w:val="24"/>
          <w:szCs w:val="24"/>
        </w:rPr>
      </w:pPr>
      <w:bookmarkStart w:id="181" w:name="_Toc8786"/>
      <w:r>
        <w:rPr>
          <w:rFonts w:hint="eastAsia" w:ascii="宋体" w:hAnsi="宋体" w:eastAsia="宋体"/>
          <w:sz w:val="24"/>
          <w:szCs w:val="24"/>
        </w:rPr>
        <w:t>8.1.2不得与供应商或采购代理机构串通损害国家利益、社会公共利益或者他人合法权益；</w:t>
      </w:r>
      <w:bookmarkEnd w:id="181"/>
    </w:p>
    <w:p>
      <w:pPr>
        <w:spacing w:line="360" w:lineRule="auto"/>
        <w:ind w:firstLine="480" w:firstLineChars="200"/>
        <w:outlineLvl w:val="0"/>
        <w:rPr>
          <w:rFonts w:ascii="宋体" w:hAnsi="宋体" w:eastAsia="宋体"/>
          <w:sz w:val="24"/>
          <w:szCs w:val="24"/>
        </w:rPr>
      </w:pPr>
      <w:bookmarkStart w:id="182" w:name="_Toc8635"/>
      <w:r>
        <w:rPr>
          <w:rFonts w:hint="eastAsia" w:ascii="宋体" w:hAnsi="宋体" w:eastAsia="宋体"/>
          <w:sz w:val="24"/>
          <w:szCs w:val="24"/>
        </w:rPr>
        <w:t>8.1.3不得诱导、干预或影响磋商小组依法依规评审，不得诱导、干预或影响评审专家依法依规独立评审；</w:t>
      </w:r>
      <w:bookmarkEnd w:id="182"/>
    </w:p>
    <w:p>
      <w:pPr>
        <w:spacing w:line="360" w:lineRule="auto"/>
        <w:ind w:firstLine="480" w:firstLineChars="200"/>
        <w:outlineLvl w:val="0"/>
        <w:rPr>
          <w:rFonts w:ascii="宋体" w:hAnsi="宋体" w:eastAsia="宋体"/>
          <w:sz w:val="24"/>
          <w:szCs w:val="24"/>
        </w:rPr>
      </w:pPr>
      <w:bookmarkStart w:id="183" w:name="_Toc11047"/>
      <w:r>
        <w:rPr>
          <w:rFonts w:hint="eastAsia" w:ascii="宋体" w:hAnsi="宋体" w:eastAsia="宋体"/>
          <w:sz w:val="24"/>
          <w:szCs w:val="24"/>
        </w:rPr>
        <w:t>8.1.4不得泄漏采购活动中应当保密的情况和资料；</w:t>
      </w:r>
      <w:bookmarkEnd w:id="183"/>
    </w:p>
    <w:p>
      <w:pPr>
        <w:spacing w:line="360" w:lineRule="auto"/>
        <w:ind w:firstLine="480" w:firstLineChars="200"/>
        <w:outlineLvl w:val="0"/>
        <w:rPr>
          <w:rFonts w:ascii="宋体" w:hAnsi="宋体" w:eastAsia="宋体"/>
          <w:sz w:val="24"/>
          <w:szCs w:val="24"/>
        </w:rPr>
      </w:pPr>
      <w:bookmarkStart w:id="184" w:name="_Toc13468"/>
      <w:r>
        <w:rPr>
          <w:rFonts w:hint="eastAsia" w:ascii="宋体" w:hAnsi="宋体" w:eastAsia="宋体"/>
          <w:sz w:val="24"/>
          <w:szCs w:val="24"/>
        </w:rPr>
        <w:t>8.1.5不得接受供应商或采购代理机构的贿赂，或获取其他不正当利益；</w:t>
      </w:r>
      <w:bookmarkEnd w:id="184"/>
    </w:p>
    <w:p>
      <w:pPr>
        <w:spacing w:line="360" w:lineRule="auto"/>
        <w:ind w:firstLine="480" w:firstLineChars="200"/>
        <w:outlineLvl w:val="0"/>
        <w:rPr>
          <w:rFonts w:ascii="宋体" w:hAnsi="宋体" w:eastAsia="宋体"/>
          <w:sz w:val="24"/>
          <w:szCs w:val="24"/>
        </w:rPr>
      </w:pPr>
      <w:bookmarkStart w:id="185" w:name="_Toc12544"/>
      <w:r>
        <w:rPr>
          <w:rFonts w:hint="eastAsia" w:ascii="宋体" w:hAnsi="宋体" w:eastAsia="宋体"/>
          <w:sz w:val="24"/>
          <w:szCs w:val="24"/>
        </w:rPr>
        <w:t>8.1.6不得无正当理拒绝与成交供应商签订合同；</w:t>
      </w:r>
      <w:bookmarkEnd w:id="185"/>
    </w:p>
    <w:p>
      <w:pPr>
        <w:spacing w:line="360" w:lineRule="auto"/>
        <w:ind w:firstLine="480" w:firstLineChars="200"/>
        <w:outlineLvl w:val="0"/>
        <w:rPr>
          <w:rFonts w:ascii="宋体" w:hAnsi="宋体" w:eastAsia="宋体"/>
          <w:sz w:val="24"/>
          <w:szCs w:val="24"/>
        </w:rPr>
      </w:pPr>
      <w:bookmarkStart w:id="186" w:name="_Toc5051"/>
      <w:r>
        <w:rPr>
          <w:rFonts w:hint="eastAsia" w:ascii="宋体" w:hAnsi="宋体" w:eastAsia="宋体"/>
          <w:sz w:val="24"/>
          <w:szCs w:val="24"/>
        </w:rPr>
        <w:t>8.1.7参与采购活动的相关人员与供应商有利害关系的应当回避；</w:t>
      </w:r>
      <w:bookmarkEnd w:id="186"/>
    </w:p>
    <w:p>
      <w:pPr>
        <w:spacing w:line="360" w:lineRule="auto"/>
        <w:ind w:firstLine="480" w:firstLineChars="200"/>
        <w:outlineLvl w:val="0"/>
        <w:rPr>
          <w:rFonts w:ascii="宋体" w:hAnsi="宋体" w:eastAsia="宋体"/>
          <w:sz w:val="24"/>
          <w:szCs w:val="24"/>
        </w:rPr>
      </w:pPr>
      <w:bookmarkStart w:id="187" w:name="_Toc15684"/>
      <w:r>
        <w:rPr>
          <w:rFonts w:hint="eastAsia" w:ascii="宋体" w:hAnsi="宋体" w:eastAsia="宋体"/>
          <w:sz w:val="24"/>
          <w:szCs w:val="24"/>
        </w:rPr>
        <w:t>8.1.8采购过程中，不得有其他违法违规行为。</w:t>
      </w:r>
      <w:bookmarkEnd w:id="187"/>
    </w:p>
    <w:p>
      <w:pPr>
        <w:spacing w:line="360" w:lineRule="auto"/>
        <w:outlineLvl w:val="0"/>
        <w:rPr>
          <w:rFonts w:ascii="宋体" w:hAnsi="宋体" w:eastAsia="宋体"/>
          <w:b/>
          <w:sz w:val="24"/>
          <w:szCs w:val="24"/>
        </w:rPr>
      </w:pPr>
      <w:bookmarkStart w:id="188" w:name="_Toc32559"/>
      <w:r>
        <w:rPr>
          <w:rFonts w:ascii="宋体" w:hAnsi="宋体" w:eastAsia="宋体"/>
          <w:b/>
          <w:sz w:val="24"/>
          <w:szCs w:val="24"/>
        </w:rPr>
        <w:t>8.2 对供应商的纪律要求</w:t>
      </w:r>
      <w:bookmarkEnd w:id="188"/>
    </w:p>
    <w:p>
      <w:pPr>
        <w:spacing w:line="360" w:lineRule="auto"/>
        <w:ind w:firstLine="480" w:firstLineChars="200"/>
        <w:outlineLvl w:val="0"/>
        <w:rPr>
          <w:rFonts w:ascii="宋体" w:hAnsi="宋体" w:eastAsia="宋体"/>
          <w:sz w:val="24"/>
          <w:szCs w:val="24"/>
        </w:rPr>
      </w:pPr>
      <w:bookmarkStart w:id="189" w:name="_Toc8912"/>
      <w:r>
        <w:rPr>
          <w:rFonts w:hint="eastAsia" w:ascii="宋体" w:hAnsi="宋体" w:eastAsia="宋体"/>
          <w:sz w:val="24"/>
          <w:szCs w:val="24"/>
        </w:rPr>
        <w:t>8.2.1不得以他人名义参加政府采购活动；</w:t>
      </w:r>
      <w:bookmarkEnd w:id="189"/>
    </w:p>
    <w:p>
      <w:pPr>
        <w:spacing w:line="360" w:lineRule="auto"/>
        <w:ind w:firstLine="480" w:firstLineChars="200"/>
        <w:outlineLvl w:val="0"/>
        <w:rPr>
          <w:rFonts w:ascii="宋体" w:hAnsi="宋体" w:eastAsia="宋体"/>
          <w:sz w:val="24"/>
          <w:szCs w:val="24"/>
        </w:rPr>
      </w:pPr>
      <w:bookmarkStart w:id="190" w:name="_Toc19700"/>
      <w:r>
        <w:rPr>
          <w:rFonts w:hint="eastAsia" w:ascii="宋体" w:hAnsi="宋体" w:eastAsia="宋体"/>
          <w:sz w:val="24"/>
          <w:szCs w:val="24"/>
        </w:rPr>
        <w:t>8.2.2供应商不得相互串通，不得与采购人、与采购代理机构串通；</w:t>
      </w:r>
      <w:bookmarkEnd w:id="190"/>
    </w:p>
    <w:p>
      <w:pPr>
        <w:spacing w:line="360" w:lineRule="auto"/>
        <w:ind w:firstLine="480" w:firstLineChars="200"/>
        <w:outlineLvl w:val="0"/>
        <w:rPr>
          <w:rFonts w:ascii="宋体" w:hAnsi="宋体" w:eastAsia="宋体"/>
          <w:sz w:val="24"/>
          <w:szCs w:val="24"/>
        </w:rPr>
      </w:pPr>
      <w:bookmarkStart w:id="191" w:name="_Toc23520"/>
      <w:r>
        <w:rPr>
          <w:rFonts w:hint="eastAsia" w:ascii="宋体" w:hAnsi="宋体" w:eastAsia="宋体"/>
          <w:sz w:val="24"/>
          <w:szCs w:val="24"/>
        </w:rPr>
        <w:t>8.2.3不得向采购人或者磋商小组成员行贿，或提供其他不正当利益谋取成交；</w:t>
      </w:r>
      <w:bookmarkEnd w:id="191"/>
    </w:p>
    <w:p>
      <w:pPr>
        <w:spacing w:line="360" w:lineRule="auto"/>
        <w:ind w:firstLine="480" w:firstLineChars="200"/>
        <w:outlineLvl w:val="0"/>
        <w:rPr>
          <w:rFonts w:ascii="宋体" w:hAnsi="宋体" w:eastAsia="宋体"/>
          <w:sz w:val="24"/>
          <w:szCs w:val="24"/>
        </w:rPr>
      </w:pPr>
      <w:bookmarkStart w:id="192" w:name="_Toc25031"/>
      <w:r>
        <w:rPr>
          <w:rFonts w:hint="eastAsia" w:ascii="宋体" w:hAnsi="宋体" w:eastAsia="宋体"/>
          <w:sz w:val="24"/>
          <w:szCs w:val="24"/>
        </w:rPr>
        <w:t>8.2.4不得弄虚作假骗取成交，不得虚假响应，不得恶意低价响应；</w:t>
      </w:r>
      <w:bookmarkEnd w:id="192"/>
    </w:p>
    <w:p>
      <w:pPr>
        <w:spacing w:line="360" w:lineRule="auto"/>
        <w:ind w:firstLine="480" w:firstLineChars="200"/>
        <w:outlineLvl w:val="0"/>
        <w:rPr>
          <w:rFonts w:ascii="宋体" w:hAnsi="宋体" w:eastAsia="宋体"/>
          <w:sz w:val="24"/>
          <w:szCs w:val="24"/>
        </w:rPr>
      </w:pPr>
      <w:bookmarkStart w:id="193" w:name="_Toc26623"/>
      <w:r>
        <w:rPr>
          <w:rFonts w:hint="eastAsia" w:ascii="宋体" w:hAnsi="宋体" w:eastAsia="宋体"/>
          <w:sz w:val="24"/>
          <w:szCs w:val="24"/>
        </w:rPr>
        <w:t>8.2.5供应商不得以任何方式干扰、影响评审工作；</w:t>
      </w:r>
      <w:bookmarkEnd w:id="193"/>
    </w:p>
    <w:p>
      <w:pPr>
        <w:spacing w:line="360" w:lineRule="auto"/>
        <w:ind w:firstLine="480" w:firstLineChars="200"/>
        <w:outlineLvl w:val="0"/>
        <w:rPr>
          <w:rFonts w:ascii="宋体" w:hAnsi="宋体" w:eastAsia="宋体"/>
          <w:sz w:val="24"/>
          <w:szCs w:val="24"/>
        </w:rPr>
      </w:pPr>
      <w:bookmarkStart w:id="194" w:name="_Toc15806"/>
      <w:r>
        <w:rPr>
          <w:rFonts w:hint="eastAsia" w:ascii="宋体" w:hAnsi="宋体" w:eastAsia="宋体"/>
          <w:sz w:val="24"/>
          <w:szCs w:val="24"/>
        </w:rPr>
        <w:t>8.2.6不得无正当理由放弃成交或成交后拒绝与采购人签订合同；</w:t>
      </w:r>
      <w:bookmarkEnd w:id="194"/>
    </w:p>
    <w:p>
      <w:pPr>
        <w:spacing w:line="360" w:lineRule="auto"/>
        <w:ind w:firstLine="480" w:firstLineChars="200"/>
        <w:outlineLvl w:val="0"/>
        <w:rPr>
          <w:rFonts w:ascii="宋体" w:hAnsi="宋体" w:eastAsia="宋体"/>
          <w:sz w:val="24"/>
          <w:szCs w:val="24"/>
        </w:rPr>
      </w:pPr>
      <w:bookmarkStart w:id="195" w:name="_Toc12992"/>
      <w:r>
        <w:rPr>
          <w:rFonts w:hint="eastAsia" w:ascii="宋体" w:hAnsi="宋体" w:eastAsia="宋体"/>
          <w:sz w:val="24"/>
          <w:szCs w:val="24"/>
        </w:rPr>
        <w:t>8.2.7不得恶意诋毁其他供应商、采购人或采购代理机构；</w:t>
      </w:r>
      <w:bookmarkEnd w:id="195"/>
    </w:p>
    <w:p>
      <w:pPr>
        <w:spacing w:line="360" w:lineRule="auto"/>
        <w:ind w:firstLine="480" w:firstLineChars="200"/>
        <w:outlineLvl w:val="0"/>
        <w:rPr>
          <w:rFonts w:ascii="宋体" w:hAnsi="宋体" w:eastAsia="宋体"/>
          <w:sz w:val="24"/>
          <w:szCs w:val="24"/>
        </w:rPr>
      </w:pPr>
      <w:bookmarkStart w:id="196" w:name="_Toc8871"/>
      <w:r>
        <w:rPr>
          <w:rFonts w:hint="eastAsia" w:ascii="宋体" w:hAnsi="宋体" w:eastAsia="宋体"/>
          <w:sz w:val="24"/>
          <w:szCs w:val="24"/>
        </w:rPr>
        <w:t>8.2.8在参与政府采购活动中，不得有其他违法违规行为。</w:t>
      </w:r>
      <w:bookmarkEnd w:id="196"/>
    </w:p>
    <w:p>
      <w:pPr>
        <w:spacing w:line="360" w:lineRule="auto"/>
        <w:outlineLvl w:val="0"/>
        <w:rPr>
          <w:rFonts w:ascii="宋体" w:hAnsi="宋体" w:eastAsia="宋体"/>
          <w:b/>
          <w:sz w:val="24"/>
          <w:szCs w:val="24"/>
        </w:rPr>
      </w:pPr>
      <w:bookmarkStart w:id="197" w:name="_Toc4378"/>
      <w:r>
        <w:rPr>
          <w:rFonts w:ascii="宋体" w:hAnsi="宋体" w:eastAsia="宋体"/>
          <w:b/>
          <w:sz w:val="24"/>
          <w:szCs w:val="24"/>
        </w:rPr>
        <w:t>8.3 对磋商小组成员的纪律要求</w:t>
      </w:r>
      <w:bookmarkEnd w:id="197"/>
    </w:p>
    <w:p>
      <w:pPr>
        <w:spacing w:line="360" w:lineRule="auto"/>
        <w:ind w:firstLine="480" w:firstLineChars="200"/>
        <w:outlineLvl w:val="0"/>
        <w:rPr>
          <w:rFonts w:ascii="宋体" w:hAnsi="宋体" w:eastAsia="宋体"/>
          <w:sz w:val="24"/>
          <w:szCs w:val="24"/>
        </w:rPr>
      </w:pPr>
      <w:bookmarkStart w:id="198" w:name="_Toc19071"/>
      <w:r>
        <w:rPr>
          <w:rFonts w:hint="eastAsia" w:ascii="宋体" w:hAnsi="宋体" w:eastAsia="宋体"/>
          <w:sz w:val="24"/>
          <w:szCs w:val="24"/>
        </w:rPr>
        <w:t>8.3.1确定参与评审至评审结束前，不得私自接触供应商；</w:t>
      </w:r>
      <w:bookmarkEnd w:id="198"/>
    </w:p>
    <w:p>
      <w:pPr>
        <w:spacing w:line="360" w:lineRule="auto"/>
        <w:ind w:firstLine="480" w:firstLineChars="200"/>
        <w:outlineLvl w:val="0"/>
        <w:rPr>
          <w:rFonts w:ascii="宋体" w:hAnsi="宋体" w:eastAsia="宋体"/>
          <w:sz w:val="24"/>
          <w:szCs w:val="24"/>
        </w:rPr>
      </w:pPr>
      <w:bookmarkStart w:id="199" w:name="_Toc4742"/>
      <w:r>
        <w:rPr>
          <w:rFonts w:hint="eastAsia" w:ascii="宋体" w:hAnsi="宋体" w:eastAsia="宋体"/>
          <w:sz w:val="24"/>
          <w:szCs w:val="24"/>
        </w:rPr>
        <w:t>8.3.2不得与供应商或采购代理机构串通损害国家利益、社会公共利益或者他人合法权益；</w:t>
      </w:r>
      <w:bookmarkEnd w:id="199"/>
    </w:p>
    <w:p>
      <w:pPr>
        <w:spacing w:line="360" w:lineRule="auto"/>
        <w:ind w:firstLine="480" w:firstLineChars="200"/>
        <w:outlineLvl w:val="0"/>
        <w:rPr>
          <w:rFonts w:ascii="宋体" w:hAnsi="宋体" w:eastAsia="宋体"/>
          <w:sz w:val="24"/>
          <w:szCs w:val="24"/>
        </w:rPr>
      </w:pPr>
      <w:bookmarkStart w:id="200" w:name="_Toc5756"/>
      <w:r>
        <w:rPr>
          <w:rFonts w:hint="eastAsia" w:ascii="宋体" w:hAnsi="宋体" w:eastAsia="宋体"/>
          <w:sz w:val="24"/>
          <w:szCs w:val="24"/>
        </w:rPr>
        <w:t>8.3.3不得接受供应商提出的与响应文件不一致的澄清和说明；</w:t>
      </w:r>
      <w:bookmarkEnd w:id="200"/>
    </w:p>
    <w:p>
      <w:pPr>
        <w:spacing w:line="360" w:lineRule="auto"/>
        <w:ind w:firstLine="480" w:firstLineChars="200"/>
        <w:outlineLvl w:val="0"/>
        <w:rPr>
          <w:rFonts w:ascii="宋体" w:hAnsi="宋体" w:eastAsia="宋体"/>
          <w:sz w:val="24"/>
          <w:szCs w:val="24"/>
        </w:rPr>
      </w:pPr>
      <w:bookmarkStart w:id="201" w:name="_Toc3173"/>
      <w:r>
        <w:rPr>
          <w:rFonts w:hint="eastAsia" w:ascii="宋体" w:hAnsi="宋体" w:eastAsia="宋体"/>
          <w:sz w:val="24"/>
          <w:szCs w:val="24"/>
        </w:rPr>
        <w:t>8.3.4不得征询采购人的倾向性意见；</w:t>
      </w:r>
      <w:bookmarkEnd w:id="201"/>
    </w:p>
    <w:p>
      <w:pPr>
        <w:spacing w:line="360" w:lineRule="auto"/>
        <w:ind w:firstLine="480" w:firstLineChars="200"/>
        <w:outlineLvl w:val="0"/>
        <w:rPr>
          <w:rFonts w:ascii="宋体" w:hAnsi="宋体" w:eastAsia="宋体"/>
          <w:sz w:val="24"/>
          <w:szCs w:val="24"/>
        </w:rPr>
      </w:pPr>
      <w:bookmarkStart w:id="202" w:name="_Toc9084"/>
      <w:r>
        <w:rPr>
          <w:rFonts w:hint="eastAsia" w:ascii="宋体" w:hAnsi="宋体" w:eastAsia="宋体"/>
          <w:sz w:val="24"/>
          <w:szCs w:val="24"/>
        </w:rPr>
        <w:t>8.3.5不得对主观评审因素协商评分；</w:t>
      </w:r>
      <w:bookmarkEnd w:id="202"/>
    </w:p>
    <w:p>
      <w:pPr>
        <w:spacing w:line="360" w:lineRule="auto"/>
        <w:ind w:firstLine="480" w:firstLineChars="200"/>
        <w:outlineLvl w:val="0"/>
        <w:rPr>
          <w:rFonts w:ascii="宋体" w:hAnsi="宋体" w:eastAsia="宋体"/>
          <w:sz w:val="24"/>
          <w:szCs w:val="24"/>
        </w:rPr>
      </w:pPr>
      <w:bookmarkStart w:id="203" w:name="_Toc14641"/>
      <w:r>
        <w:rPr>
          <w:rFonts w:hint="eastAsia" w:ascii="宋体" w:hAnsi="宋体" w:eastAsia="宋体"/>
          <w:sz w:val="24"/>
          <w:szCs w:val="24"/>
        </w:rPr>
        <w:t>8.3.6不得对客观评审因素评分不一致；</w:t>
      </w:r>
      <w:bookmarkEnd w:id="203"/>
    </w:p>
    <w:p>
      <w:pPr>
        <w:spacing w:line="360" w:lineRule="auto"/>
        <w:ind w:firstLine="480" w:firstLineChars="200"/>
        <w:outlineLvl w:val="0"/>
        <w:rPr>
          <w:rFonts w:ascii="宋体" w:hAnsi="宋体" w:eastAsia="宋体"/>
          <w:sz w:val="24"/>
          <w:szCs w:val="24"/>
        </w:rPr>
      </w:pPr>
      <w:bookmarkStart w:id="204" w:name="_Toc22232"/>
      <w:r>
        <w:rPr>
          <w:rFonts w:hint="eastAsia" w:ascii="宋体" w:hAnsi="宋体" w:eastAsia="宋体"/>
          <w:sz w:val="24"/>
          <w:szCs w:val="24"/>
        </w:rPr>
        <w:t>8.3.7磋商小组成员不得接受供应商、采购人和采购代理机构等他人的贿赂或者其他不正当利益；</w:t>
      </w:r>
      <w:bookmarkEnd w:id="204"/>
    </w:p>
    <w:p>
      <w:pPr>
        <w:spacing w:line="360" w:lineRule="auto"/>
        <w:ind w:firstLine="480" w:firstLineChars="200"/>
        <w:outlineLvl w:val="0"/>
        <w:rPr>
          <w:rFonts w:ascii="宋体" w:hAnsi="宋体" w:eastAsia="宋体"/>
          <w:sz w:val="24"/>
          <w:szCs w:val="24"/>
        </w:rPr>
      </w:pPr>
      <w:bookmarkStart w:id="205" w:name="_Toc21118"/>
      <w:r>
        <w:rPr>
          <w:rFonts w:hint="eastAsia" w:ascii="宋体" w:hAnsi="宋体" w:eastAsia="宋体"/>
          <w:sz w:val="24"/>
          <w:szCs w:val="24"/>
        </w:rPr>
        <w:t>8.3.8不得以不合理的条件对供应商实行差别待遇或者歧视待遇，排斥其他供应商公平参与竞争；</w:t>
      </w:r>
      <w:bookmarkEnd w:id="205"/>
    </w:p>
    <w:p>
      <w:pPr>
        <w:spacing w:line="360" w:lineRule="auto"/>
        <w:ind w:firstLine="480" w:firstLineChars="200"/>
        <w:outlineLvl w:val="0"/>
        <w:rPr>
          <w:rFonts w:ascii="宋体" w:hAnsi="宋体" w:eastAsia="宋体"/>
          <w:sz w:val="24"/>
          <w:szCs w:val="24"/>
        </w:rPr>
      </w:pPr>
      <w:bookmarkStart w:id="206" w:name="_Toc20206"/>
      <w:r>
        <w:rPr>
          <w:rFonts w:hint="eastAsia" w:ascii="宋体" w:hAnsi="宋体" w:eastAsia="宋体"/>
          <w:sz w:val="24"/>
          <w:szCs w:val="24"/>
        </w:rPr>
        <w:t>8.3.9不得使用磋商文件没有规定的评审方法和评审标准进行评审；</w:t>
      </w:r>
      <w:bookmarkEnd w:id="206"/>
    </w:p>
    <w:p>
      <w:pPr>
        <w:spacing w:line="360" w:lineRule="auto"/>
        <w:ind w:firstLine="480" w:firstLineChars="200"/>
        <w:outlineLvl w:val="0"/>
        <w:rPr>
          <w:rFonts w:ascii="宋体" w:hAnsi="宋体" w:eastAsia="宋体"/>
          <w:sz w:val="24"/>
          <w:szCs w:val="24"/>
        </w:rPr>
      </w:pPr>
      <w:bookmarkStart w:id="207" w:name="_Toc996"/>
      <w:r>
        <w:rPr>
          <w:rFonts w:hint="eastAsia" w:ascii="宋体" w:hAnsi="宋体" w:eastAsia="宋体"/>
          <w:sz w:val="24"/>
          <w:szCs w:val="24"/>
        </w:rPr>
        <w:t>8.3.10不得诱导、干预或影响其他评审专家依法依规独立评审；</w:t>
      </w:r>
      <w:bookmarkEnd w:id="207"/>
    </w:p>
    <w:p>
      <w:pPr>
        <w:spacing w:line="360" w:lineRule="auto"/>
        <w:ind w:firstLine="480" w:firstLineChars="200"/>
        <w:outlineLvl w:val="0"/>
        <w:rPr>
          <w:rFonts w:ascii="宋体" w:hAnsi="宋体" w:eastAsia="宋体"/>
          <w:sz w:val="24"/>
          <w:szCs w:val="24"/>
        </w:rPr>
      </w:pPr>
      <w:bookmarkStart w:id="208" w:name="_Toc15585"/>
      <w:r>
        <w:rPr>
          <w:rFonts w:hint="eastAsia" w:ascii="宋体" w:hAnsi="宋体" w:eastAsia="宋体"/>
          <w:sz w:val="24"/>
          <w:szCs w:val="24"/>
        </w:rPr>
        <w:t>8.3.11在评审活动中，磋商小组成员不得擅离职守，影响评审工作正常进行；</w:t>
      </w:r>
      <w:bookmarkEnd w:id="208"/>
    </w:p>
    <w:p>
      <w:pPr>
        <w:spacing w:line="360" w:lineRule="auto"/>
        <w:ind w:firstLine="480" w:firstLineChars="200"/>
        <w:outlineLvl w:val="0"/>
        <w:rPr>
          <w:rFonts w:ascii="宋体" w:hAnsi="宋体" w:eastAsia="宋体"/>
          <w:sz w:val="24"/>
          <w:szCs w:val="24"/>
        </w:rPr>
      </w:pPr>
      <w:bookmarkStart w:id="209" w:name="_Toc17982"/>
      <w:r>
        <w:rPr>
          <w:rFonts w:hint="eastAsia" w:ascii="宋体" w:hAnsi="宋体" w:eastAsia="宋体"/>
          <w:sz w:val="24"/>
          <w:szCs w:val="24"/>
        </w:rPr>
        <w:t>8.3.12不得记录、复制或带走任何评审资料；</w:t>
      </w:r>
      <w:bookmarkEnd w:id="209"/>
    </w:p>
    <w:p>
      <w:pPr>
        <w:spacing w:line="360" w:lineRule="auto"/>
        <w:ind w:firstLine="480" w:firstLineChars="200"/>
        <w:outlineLvl w:val="0"/>
        <w:rPr>
          <w:rFonts w:ascii="宋体" w:hAnsi="宋体" w:eastAsia="宋体"/>
          <w:sz w:val="24"/>
          <w:szCs w:val="24"/>
        </w:rPr>
      </w:pPr>
      <w:bookmarkStart w:id="210" w:name="_Toc6489"/>
      <w:r>
        <w:rPr>
          <w:rFonts w:hint="eastAsia" w:ascii="宋体" w:hAnsi="宋体" w:eastAsia="宋体"/>
          <w:sz w:val="24"/>
          <w:szCs w:val="24"/>
        </w:rPr>
        <w:t>8.3.13不得泄露评审过程中获悉的对响应文件的评审和比较、成交候选人的推荐情况以及与评审有关的应当保密的情况和资料；</w:t>
      </w:r>
      <w:bookmarkEnd w:id="210"/>
    </w:p>
    <w:p>
      <w:pPr>
        <w:spacing w:line="360" w:lineRule="auto"/>
        <w:ind w:firstLine="480" w:firstLineChars="200"/>
        <w:outlineLvl w:val="0"/>
        <w:rPr>
          <w:rFonts w:ascii="宋体" w:hAnsi="宋体" w:eastAsia="宋体"/>
          <w:sz w:val="24"/>
          <w:szCs w:val="24"/>
        </w:rPr>
      </w:pPr>
      <w:bookmarkStart w:id="211" w:name="_Toc28136"/>
      <w:r>
        <w:rPr>
          <w:rFonts w:hint="eastAsia" w:ascii="宋体" w:hAnsi="宋体" w:eastAsia="宋体"/>
          <w:sz w:val="24"/>
          <w:szCs w:val="24"/>
        </w:rPr>
        <w:t>8.3.14磋商小组成员与供应商存在利害关系应当回避；</w:t>
      </w:r>
      <w:bookmarkEnd w:id="211"/>
    </w:p>
    <w:p>
      <w:pPr>
        <w:spacing w:line="360" w:lineRule="auto"/>
        <w:ind w:firstLine="480" w:firstLineChars="200"/>
        <w:outlineLvl w:val="0"/>
        <w:rPr>
          <w:rFonts w:ascii="宋体" w:hAnsi="宋体" w:eastAsia="宋体"/>
          <w:sz w:val="24"/>
          <w:szCs w:val="24"/>
        </w:rPr>
      </w:pPr>
      <w:bookmarkStart w:id="212" w:name="_Toc29771"/>
      <w:r>
        <w:rPr>
          <w:rFonts w:hint="eastAsia" w:ascii="宋体" w:hAnsi="宋体" w:eastAsia="宋体"/>
          <w:sz w:val="24"/>
          <w:szCs w:val="24"/>
        </w:rPr>
        <w:t>8.3.15在参与政府采购评审活动中，不得有其他违法违规行为。</w:t>
      </w:r>
      <w:bookmarkEnd w:id="212"/>
    </w:p>
    <w:p>
      <w:pPr>
        <w:spacing w:line="360" w:lineRule="auto"/>
        <w:outlineLvl w:val="0"/>
        <w:rPr>
          <w:rFonts w:ascii="宋体" w:hAnsi="宋体" w:eastAsia="宋体"/>
          <w:b/>
          <w:sz w:val="24"/>
          <w:szCs w:val="24"/>
        </w:rPr>
      </w:pPr>
      <w:bookmarkStart w:id="213" w:name="_Toc19424"/>
      <w:r>
        <w:rPr>
          <w:rFonts w:ascii="宋体" w:hAnsi="宋体" w:eastAsia="宋体"/>
          <w:b/>
          <w:sz w:val="24"/>
          <w:szCs w:val="24"/>
        </w:rPr>
        <w:t>8.4 对与评审活动有关的工作人员的纪律要求</w:t>
      </w:r>
      <w:bookmarkEnd w:id="213"/>
    </w:p>
    <w:p>
      <w:pPr>
        <w:spacing w:line="360" w:lineRule="auto"/>
        <w:ind w:firstLine="480" w:firstLineChars="200"/>
        <w:outlineLvl w:val="0"/>
        <w:rPr>
          <w:rFonts w:ascii="宋体" w:hAnsi="宋体" w:eastAsia="宋体"/>
          <w:sz w:val="24"/>
          <w:szCs w:val="24"/>
        </w:rPr>
      </w:pPr>
      <w:bookmarkStart w:id="214" w:name="_Toc24601"/>
      <w:r>
        <w:rPr>
          <w:rFonts w:hint="eastAsia" w:ascii="宋体" w:hAnsi="宋体" w:eastAsia="宋体"/>
          <w:sz w:val="24"/>
          <w:szCs w:val="24"/>
        </w:rPr>
        <w:t>8.4.1不得接受供应商、采购人和采购代理机构等他人的贿赂或者其他不正当利益；</w:t>
      </w:r>
      <w:bookmarkEnd w:id="214"/>
    </w:p>
    <w:p>
      <w:pPr>
        <w:spacing w:line="360" w:lineRule="auto"/>
        <w:ind w:firstLine="480" w:firstLineChars="200"/>
        <w:outlineLvl w:val="0"/>
        <w:rPr>
          <w:rFonts w:ascii="宋体" w:hAnsi="宋体" w:eastAsia="宋体"/>
          <w:sz w:val="24"/>
          <w:szCs w:val="24"/>
        </w:rPr>
      </w:pPr>
      <w:bookmarkStart w:id="215" w:name="_Toc243"/>
      <w:r>
        <w:rPr>
          <w:rFonts w:hint="eastAsia" w:ascii="宋体" w:hAnsi="宋体" w:eastAsia="宋体"/>
          <w:sz w:val="24"/>
          <w:szCs w:val="24"/>
        </w:rPr>
        <w:t>8.4.2不得与供应商、采购代理机构或评审专家串通损害国家利益、社会公共利益或者他人合法权益；</w:t>
      </w:r>
      <w:bookmarkEnd w:id="215"/>
    </w:p>
    <w:p>
      <w:pPr>
        <w:spacing w:line="360" w:lineRule="auto"/>
        <w:ind w:firstLine="480" w:firstLineChars="200"/>
        <w:outlineLvl w:val="0"/>
        <w:rPr>
          <w:rFonts w:ascii="宋体" w:hAnsi="宋体" w:eastAsia="宋体"/>
          <w:sz w:val="24"/>
          <w:szCs w:val="24"/>
        </w:rPr>
      </w:pPr>
      <w:bookmarkStart w:id="216" w:name="_Toc14979"/>
      <w:r>
        <w:rPr>
          <w:rFonts w:hint="eastAsia" w:ascii="宋体" w:hAnsi="宋体" w:eastAsia="宋体"/>
          <w:sz w:val="24"/>
          <w:szCs w:val="24"/>
        </w:rPr>
        <w:t>8.4.3不得以不合理的条件对供应商实行差别待遇或者歧视待遇，排斥其他供应商公平参与竞争；</w:t>
      </w:r>
      <w:bookmarkEnd w:id="216"/>
    </w:p>
    <w:p>
      <w:pPr>
        <w:spacing w:line="360" w:lineRule="auto"/>
        <w:ind w:firstLine="480" w:firstLineChars="200"/>
        <w:outlineLvl w:val="0"/>
        <w:rPr>
          <w:rFonts w:ascii="宋体" w:hAnsi="宋体" w:eastAsia="宋体"/>
          <w:sz w:val="24"/>
          <w:szCs w:val="24"/>
        </w:rPr>
      </w:pPr>
      <w:bookmarkStart w:id="217" w:name="_Toc23397"/>
      <w:r>
        <w:rPr>
          <w:rFonts w:hint="eastAsia" w:ascii="宋体" w:hAnsi="宋体" w:eastAsia="宋体"/>
          <w:sz w:val="24"/>
          <w:szCs w:val="24"/>
        </w:rPr>
        <w:t>8.4.4不得诱导、干预或影响磋商小组及其成员依法依规独立评审；</w:t>
      </w:r>
      <w:bookmarkEnd w:id="217"/>
    </w:p>
    <w:p>
      <w:pPr>
        <w:spacing w:line="360" w:lineRule="auto"/>
        <w:ind w:firstLine="480" w:firstLineChars="200"/>
        <w:outlineLvl w:val="0"/>
        <w:rPr>
          <w:rFonts w:ascii="宋体" w:hAnsi="宋体" w:eastAsia="宋体"/>
          <w:sz w:val="24"/>
          <w:szCs w:val="24"/>
        </w:rPr>
      </w:pPr>
      <w:bookmarkStart w:id="218" w:name="_Toc27197"/>
      <w:r>
        <w:rPr>
          <w:rFonts w:hint="eastAsia" w:ascii="宋体" w:hAnsi="宋体" w:eastAsia="宋体"/>
          <w:sz w:val="24"/>
          <w:szCs w:val="24"/>
        </w:rPr>
        <w:t>8.4.5不得擅离职守，影响评审工作正常进行；</w:t>
      </w:r>
      <w:bookmarkEnd w:id="218"/>
    </w:p>
    <w:p>
      <w:pPr>
        <w:spacing w:line="360" w:lineRule="auto"/>
        <w:ind w:firstLine="480" w:firstLineChars="200"/>
        <w:outlineLvl w:val="0"/>
        <w:rPr>
          <w:rFonts w:ascii="宋体" w:hAnsi="宋体" w:eastAsia="宋体"/>
          <w:sz w:val="24"/>
          <w:szCs w:val="24"/>
        </w:rPr>
      </w:pPr>
      <w:bookmarkStart w:id="219" w:name="_Toc6827"/>
      <w:r>
        <w:rPr>
          <w:rFonts w:hint="eastAsia" w:ascii="宋体" w:hAnsi="宋体" w:eastAsia="宋体"/>
          <w:sz w:val="24"/>
          <w:szCs w:val="24"/>
        </w:rPr>
        <w:t>8.4.6不得泄漏采购活动中应当保密的情况和资料；</w:t>
      </w:r>
      <w:bookmarkEnd w:id="219"/>
    </w:p>
    <w:p>
      <w:pPr>
        <w:spacing w:line="360" w:lineRule="auto"/>
        <w:ind w:firstLine="480" w:firstLineChars="200"/>
        <w:outlineLvl w:val="0"/>
        <w:rPr>
          <w:rFonts w:ascii="宋体" w:hAnsi="宋体" w:eastAsia="宋体"/>
          <w:sz w:val="24"/>
          <w:szCs w:val="24"/>
        </w:rPr>
      </w:pPr>
      <w:bookmarkStart w:id="220" w:name="_Toc7725"/>
      <w:r>
        <w:rPr>
          <w:rFonts w:hint="eastAsia" w:ascii="宋体" w:hAnsi="宋体" w:eastAsia="宋体"/>
          <w:sz w:val="24"/>
          <w:szCs w:val="24"/>
        </w:rPr>
        <w:t>8.4.7与供应商有利害关系的应当回避；</w:t>
      </w:r>
      <w:bookmarkEnd w:id="220"/>
    </w:p>
    <w:p>
      <w:pPr>
        <w:spacing w:line="360" w:lineRule="auto"/>
        <w:ind w:firstLine="480" w:firstLineChars="200"/>
        <w:outlineLvl w:val="0"/>
        <w:rPr>
          <w:rFonts w:ascii="宋体" w:hAnsi="宋体" w:eastAsia="宋体"/>
          <w:sz w:val="24"/>
          <w:szCs w:val="24"/>
        </w:rPr>
      </w:pPr>
      <w:bookmarkStart w:id="221" w:name="_Toc4662"/>
      <w:r>
        <w:rPr>
          <w:rFonts w:hint="eastAsia" w:ascii="宋体" w:hAnsi="宋体" w:eastAsia="宋体"/>
          <w:sz w:val="24"/>
          <w:szCs w:val="24"/>
        </w:rPr>
        <w:t>8.4.8在参与或服务政府采购活动中，不得有其他违法违规行为。</w:t>
      </w:r>
      <w:bookmarkEnd w:id="221"/>
    </w:p>
    <w:p>
      <w:pPr>
        <w:spacing w:line="360" w:lineRule="auto"/>
        <w:outlineLvl w:val="0"/>
        <w:rPr>
          <w:rFonts w:ascii="宋体" w:hAnsi="宋体" w:eastAsia="宋体"/>
          <w:b/>
          <w:sz w:val="24"/>
          <w:szCs w:val="24"/>
        </w:rPr>
      </w:pPr>
      <w:bookmarkStart w:id="222" w:name="_Toc17305"/>
      <w:r>
        <w:rPr>
          <w:rFonts w:ascii="宋体" w:hAnsi="宋体" w:eastAsia="宋体"/>
          <w:b/>
          <w:sz w:val="24"/>
          <w:szCs w:val="24"/>
        </w:rPr>
        <w:t>8.5</w:t>
      </w:r>
      <w:r>
        <w:rPr>
          <w:rFonts w:hint="eastAsia" w:ascii="宋体" w:hAnsi="宋体" w:eastAsia="宋体"/>
          <w:b/>
          <w:sz w:val="24"/>
          <w:szCs w:val="24"/>
        </w:rPr>
        <w:t>质疑和投诉</w:t>
      </w:r>
      <w:bookmarkEnd w:id="222"/>
    </w:p>
    <w:p>
      <w:pPr>
        <w:spacing w:line="360" w:lineRule="auto"/>
        <w:ind w:firstLine="480" w:firstLineChars="200"/>
        <w:outlineLvl w:val="0"/>
        <w:rPr>
          <w:rFonts w:ascii="宋体" w:hAnsi="宋体" w:eastAsia="宋体"/>
          <w:sz w:val="24"/>
          <w:szCs w:val="24"/>
        </w:rPr>
      </w:pPr>
      <w:bookmarkStart w:id="223" w:name="_Toc11110"/>
      <w:r>
        <w:rPr>
          <w:rFonts w:hint="eastAsia" w:ascii="宋体" w:hAnsi="宋体" w:eastAsia="宋体"/>
          <w:sz w:val="24"/>
          <w:szCs w:val="24"/>
        </w:rPr>
        <w:t>8.5.1供应商认为本次采购活动的磋商文件、采购过程和成交结果使自己的权益受到损害的，在知道或应知其权益受到损害之日起7个工作日内有权在法定质疑期内，按规定的程序针对同一采购程序环节一次性实名向采购人、采购代理机构提出书面质疑。质疑函应采用中华人民共和国财政部制定的范本（见附件：质疑函范本）。质疑函及授权委托书应按规定签字并加盖公章。质疑函应当面递交；因情况特殊而邮寄的，交邮前应通知采购人、采购代理机构。接受质疑函的采购人、采购代理机构的联系部门、联系电话和通讯地址详见本项目采购公告和供应商须知前附表。</w:t>
      </w:r>
      <w:bookmarkEnd w:id="223"/>
    </w:p>
    <w:p>
      <w:pPr>
        <w:spacing w:line="360" w:lineRule="auto"/>
        <w:ind w:firstLine="480" w:firstLineChars="200"/>
        <w:outlineLvl w:val="0"/>
        <w:rPr>
          <w:rFonts w:ascii="宋体" w:hAnsi="宋体" w:eastAsia="宋体"/>
          <w:sz w:val="24"/>
          <w:szCs w:val="24"/>
        </w:rPr>
      </w:pPr>
      <w:bookmarkStart w:id="224" w:name="_Toc21201"/>
      <w:r>
        <w:rPr>
          <w:rFonts w:hint="eastAsia" w:ascii="宋体" w:hAnsi="宋体" w:eastAsia="宋体"/>
          <w:sz w:val="24"/>
          <w:szCs w:val="24"/>
        </w:rPr>
        <w:t>8.5.2对采购人、采购代理机构的答复不满意或者采购人、采购代理机构未在规定的时间内作出答复的，供应商可以在质疑答复期满后15个工作日内实名向（项目所属）同级政府采购监督管理部门投诉。</w:t>
      </w:r>
      <w:bookmarkEnd w:id="224"/>
    </w:p>
    <w:p>
      <w:pPr>
        <w:spacing w:line="360" w:lineRule="auto"/>
        <w:ind w:firstLine="480" w:firstLineChars="200"/>
        <w:outlineLvl w:val="0"/>
        <w:rPr>
          <w:rFonts w:ascii="宋体" w:hAnsi="宋体" w:eastAsia="宋体"/>
          <w:sz w:val="24"/>
          <w:szCs w:val="24"/>
        </w:rPr>
      </w:pPr>
      <w:bookmarkStart w:id="225" w:name="_Toc2060"/>
      <w:r>
        <w:rPr>
          <w:rFonts w:hint="eastAsia" w:ascii="宋体" w:hAnsi="宋体" w:eastAsia="宋体"/>
          <w:sz w:val="24"/>
          <w:szCs w:val="24"/>
        </w:rPr>
        <w:t>8.5.3质疑和投诉应有具体的质疑（投诉）事项和必要的证明材料或事实根据，供应商对其质疑和投诉内容的真实性及其来源的合法性承担法律责任。</w:t>
      </w:r>
      <w:bookmarkEnd w:id="225"/>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9、</w:t>
      </w:r>
      <w:r>
        <w:rPr>
          <w:rFonts w:ascii="宋体" w:hAnsi="宋体" w:eastAsia="宋体" w:cs="黑体"/>
          <w:b/>
          <w:bCs/>
          <w:sz w:val="24"/>
          <w:szCs w:val="24"/>
        </w:rPr>
        <w:t>是否采用电子</w:t>
      </w:r>
      <w:r>
        <w:rPr>
          <w:rFonts w:hint="eastAsia" w:ascii="宋体" w:hAnsi="宋体" w:eastAsia="宋体" w:cs="黑体"/>
          <w:b/>
          <w:bCs/>
          <w:sz w:val="24"/>
          <w:szCs w:val="24"/>
        </w:rPr>
        <w:t>政府采购</w:t>
      </w:r>
    </w:p>
    <w:p>
      <w:pPr>
        <w:spacing w:line="360" w:lineRule="auto"/>
        <w:ind w:firstLine="480" w:firstLineChars="200"/>
        <w:outlineLvl w:val="0"/>
        <w:rPr>
          <w:rFonts w:ascii="宋体" w:hAnsi="宋体" w:eastAsia="宋体"/>
          <w:sz w:val="24"/>
          <w:szCs w:val="24"/>
        </w:rPr>
      </w:pPr>
      <w:bookmarkStart w:id="226" w:name="_Toc19991"/>
      <w:r>
        <w:rPr>
          <w:rFonts w:ascii="宋体" w:hAnsi="宋体" w:eastAsia="宋体"/>
          <w:sz w:val="24"/>
          <w:szCs w:val="24"/>
        </w:rPr>
        <w:t>本</w:t>
      </w:r>
      <w:r>
        <w:rPr>
          <w:rFonts w:hint="eastAsia" w:ascii="宋体" w:hAnsi="宋体" w:eastAsia="宋体"/>
          <w:sz w:val="24"/>
          <w:szCs w:val="24"/>
        </w:rPr>
        <w:t>采购</w:t>
      </w:r>
      <w:r>
        <w:rPr>
          <w:rFonts w:ascii="宋体" w:hAnsi="宋体" w:eastAsia="宋体"/>
          <w:sz w:val="24"/>
          <w:szCs w:val="24"/>
        </w:rPr>
        <w:t>项目是否采用电子</w:t>
      </w:r>
      <w:r>
        <w:rPr>
          <w:rFonts w:hint="eastAsia" w:ascii="宋体" w:hAnsi="宋体" w:eastAsia="宋体"/>
          <w:sz w:val="24"/>
          <w:szCs w:val="24"/>
        </w:rPr>
        <w:t>政府采购</w:t>
      </w:r>
      <w:r>
        <w:rPr>
          <w:rFonts w:ascii="宋体" w:hAnsi="宋体" w:eastAsia="宋体"/>
          <w:sz w:val="24"/>
          <w:szCs w:val="24"/>
        </w:rPr>
        <w:t>方式，见供应商须知前附表。</w:t>
      </w:r>
      <w:bookmarkEnd w:id="226"/>
    </w:p>
    <w:p>
      <w:pPr>
        <w:widowControl/>
        <w:tabs>
          <w:tab w:val="left" w:pos="760"/>
        </w:tabs>
        <w:spacing w:line="360" w:lineRule="auto"/>
        <w:rPr>
          <w:rFonts w:ascii="宋体" w:hAnsi="宋体" w:eastAsia="宋体" w:cs="黑体"/>
          <w:b/>
          <w:bCs/>
          <w:sz w:val="24"/>
          <w:szCs w:val="24"/>
        </w:rPr>
      </w:pPr>
      <w:r>
        <w:rPr>
          <w:rFonts w:hint="eastAsia" w:ascii="宋体" w:hAnsi="宋体" w:eastAsia="宋体" w:cs="黑体"/>
          <w:b/>
          <w:bCs/>
          <w:sz w:val="24"/>
          <w:szCs w:val="24"/>
        </w:rPr>
        <w:t>10、</w:t>
      </w:r>
      <w:r>
        <w:rPr>
          <w:rFonts w:ascii="宋体" w:hAnsi="宋体" w:eastAsia="宋体" w:cs="黑体"/>
          <w:b/>
          <w:bCs/>
          <w:sz w:val="24"/>
          <w:szCs w:val="24"/>
        </w:rPr>
        <w:t>需要补充的其他内容</w:t>
      </w:r>
    </w:p>
    <w:p>
      <w:pPr>
        <w:spacing w:line="360" w:lineRule="auto"/>
        <w:ind w:firstLine="470" w:firstLineChars="196"/>
        <w:rPr>
          <w:rFonts w:ascii="宋体" w:hAnsi="宋体" w:eastAsia="宋体"/>
          <w:sz w:val="24"/>
          <w:szCs w:val="24"/>
        </w:rPr>
      </w:pPr>
      <w:r>
        <w:rPr>
          <w:rFonts w:ascii="宋体" w:hAnsi="宋体" w:eastAsia="宋体"/>
          <w:sz w:val="24"/>
          <w:szCs w:val="24"/>
        </w:rPr>
        <w:t>需要补充的其他内容：见供应商须知前附表。</w:t>
      </w:r>
    </w:p>
    <w:p>
      <w:pPr>
        <w:spacing w:line="360" w:lineRule="auto"/>
        <w:ind w:firstLine="470" w:firstLineChars="196"/>
        <w:rPr>
          <w:rFonts w:ascii="宋体" w:hAnsi="宋体" w:eastAsia="宋体"/>
          <w:sz w:val="24"/>
          <w:szCs w:val="24"/>
        </w:rPr>
      </w:pPr>
      <w:r>
        <w:rPr>
          <w:rFonts w:hint="eastAsia" w:ascii="宋体" w:hAnsi="宋体" w:eastAsia="宋体"/>
          <w:sz w:val="24"/>
          <w:szCs w:val="24"/>
        </w:rPr>
        <w:t>监督单位及电话见供应商须知前附表。</w:t>
      </w:r>
    </w:p>
    <w:p>
      <w:pPr>
        <w:sectPr>
          <w:footerReference r:id="rId7" w:type="default"/>
          <w:pgSz w:w="11910" w:h="16840"/>
          <w:pgMar w:top="1440" w:right="1800" w:bottom="1440" w:left="1800" w:header="902" w:footer="991" w:gutter="0"/>
          <w:cols w:space="720" w:num="1"/>
        </w:sectPr>
      </w:pPr>
    </w:p>
    <w:p>
      <w:pPr>
        <w:pStyle w:val="3"/>
        <w:bidi w:val="0"/>
        <w:rPr>
          <w:rFonts w:hint="eastAsia" w:ascii="宋体" w:hAnsi="宋体" w:eastAsia="宋体" w:cs="宋体"/>
          <w:sz w:val="32"/>
          <w:szCs w:val="32"/>
        </w:rPr>
      </w:pPr>
      <w:bookmarkStart w:id="227" w:name="_Toc21044"/>
      <w:r>
        <w:rPr>
          <w:rFonts w:hint="eastAsia" w:ascii="宋体" w:hAnsi="宋体" w:eastAsia="宋体" w:cs="宋体"/>
          <w:sz w:val="32"/>
          <w:szCs w:val="32"/>
        </w:rPr>
        <w:t>第</w:t>
      </w:r>
      <w:r>
        <w:rPr>
          <w:rFonts w:hint="eastAsia" w:ascii="宋体" w:hAnsi="宋体" w:eastAsia="宋体" w:cs="宋体"/>
          <w:color w:val="auto"/>
          <w:sz w:val="32"/>
          <w:szCs w:val="32"/>
          <w:lang w:eastAsia="zh-CN"/>
        </w:rPr>
        <w:t>三</w:t>
      </w:r>
      <w:r>
        <w:rPr>
          <w:rFonts w:hint="eastAsia" w:ascii="宋体" w:hAnsi="宋体" w:eastAsia="宋体" w:cs="宋体"/>
          <w:color w:val="auto"/>
          <w:sz w:val="32"/>
          <w:szCs w:val="32"/>
        </w:rPr>
        <w:t xml:space="preserve">章 </w:t>
      </w:r>
      <w:r>
        <w:rPr>
          <w:rFonts w:hint="eastAsia" w:ascii="宋体" w:hAnsi="宋体" w:eastAsia="宋体" w:cs="宋体"/>
          <w:color w:val="auto"/>
          <w:sz w:val="32"/>
          <w:szCs w:val="32"/>
          <w:lang w:val="en-US" w:eastAsia="zh-CN"/>
        </w:rPr>
        <w:t xml:space="preserve">  </w:t>
      </w:r>
      <w:r>
        <w:rPr>
          <w:rFonts w:hint="eastAsia" w:ascii="宋体" w:hAnsi="宋体" w:eastAsia="宋体" w:cs="宋体"/>
          <w:color w:val="auto"/>
          <w:sz w:val="32"/>
          <w:szCs w:val="32"/>
          <w:lang w:eastAsia="zh-CN"/>
        </w:rPr>
        <w:t>项目</w:t>
      </w:r>
      <w:r>
        <w:rPr>
          <w:rFonts w:hint="eastAsia" w:ascii="宋体" w:hAnsi="宋体" w:eastAsia="宋体" w:cs="宋体"/>
          <w:color w:val="auto"/>
          <w:sz w:val="32"/>
          <w:szCs w:val="32"/>
        </w:rPr>
        <w:t>要求</w:t>
      </w:r>
      <w:bookmarkEnd w:id="227"/>
    </w:p>
    <w:p>
      <w:pPr>
        <w:spacing w:line="360" w:lineRule="exact"/>
        <w:jc w:val="center"/>
        <w:rPr>
          <w:rFonts w:hint="eastAsia" w:ascii="宋体 ，Arial" w:hAnsi="宋体 ，Arial" w:eastAsia="宋体 ，Arial" w:cs="宋体 ，Arial"/>
          <w:color w:val="000000"/>
          <w:szCs w:val="21"/>
        </w:rPr>
      </w:pPr>
    </w:p>
    <w:p>
      <w:pPr>
        <w:widowControl/>
        <w:tabs>
          <w:tab w:val="left" w:pos="760"/>
        </w:tabs>
        <w:spacing w:line="360" w:lineRule="auto"/>
        <w:rPr>
          <w:rFonts w:hint="eastAsia" w:ascii="宋体" w:hAnsi="宋体" w:eastAsia="宋体" w:cs="黑体"/>
          <w:b/>
          <w:bCs/>
          <w:sz w:val="24"/>
          <w:szCs w:val="24"/>
        </w:rPr>
      </w:pPr>
      <w:r>
        <w:rPr>
          <w:rFonts w:hint="eastAsia" w:ascii="宋体" w:hAnsi="宋体" w:eastAsia="宋体" w:cs="黑体"/>
          <w:b/>
          <w:bCs/>
          <w:sz w:val="24"/>
          <w:szCs w:val="24"/>
          <w:lang w:val="en-US" w:eastAsia="zh-CN"/>
        </w:rPr>
        <w:t>一、</w:t>
      </w:r>
      <w:r>
        <w:rPr>
          <w:rFonts w:hint="eastAsia" w:ascii="宋体" w:hAnsi="宋体" w:eastAsia="宋体" w:cs="黑体"/>
          <w:b/>
          <w:bCs/>
          <w:sz w:val="24"/>
          <w:szCs w:val="24"/>
        </w:rPr>
        <w:t>项目概况</w:t>
      </w:r>
    </w:p>
    <w:p>
      <w:pPr>
        <w:spacing w:line="360" w:lineRule="auto"/>
        <w:ind w:firstLine="480" w:firstLineChars="200"/>
        <w:outlineLvl w:val="0"/>
        <w:rPr>
          <w:rFonts w:hint="eastAsia" w:ascii="宋体" w:hAnsi="宋体" w:eastAsia="宋体"/>
          <w:sz w:val="24"/>
          <w:szCs w:val="24"/>
        </w:rPr>
      </w:pPr>
      <w:r>
        <w:rPr>
          <w:rFonts w:hint="eastAsia" w:ascii="宋体" w:hAnsi="宋体" w:eastAsia="宋体"/>
          <w:sz w:val="24"/>
          <w:szCs w:val="24"/>
          <w:lang w:val="en-US" w:eastAsia="zh-CN"/>
        </w:rPr>
        <w:t>洛界高速公路位于洛阳市境内主线全长50.192公里，为二广（G55）、宁洛(G36)共用路段。洛界高速公路养护专项工程为维护修复的养护施 工，包括局部路面病害养护施工处治及道路、交安设施的复原，旨在恢复路面通 行能力和修复因自然灾害或交通事故等自然、人为因素造成道路、交安设施的损坏。</w:t>
      </w:r>
    </w:p>
    <w:p>
      <w:pPr>
        <w:widowControl/>
        <w:tabs>
          <w:tab w:val="left" w:pos="760"/>
        </w:tabs>
        <w:spacing w:line="360" w:lineRule="auto"/>
        <w:rPr>
          <w:rFonts w:hint="eastAsia" w:ascii="宋体" w:hAnsi="宋体" w:eastAsia="宋体" w:cs="黑体"/>
          <w:b/>
          <w:bCs/>
          <w:sz w:val="24"/>
          <w:szCs w:val="24"/>
        </w:rPr>
      </w:pPr>
      <w:r>
        <w:rPr>
          <w:rFonts w:hint="eastAsia" w:ascii="宋体" w:hAnsi="宋体" w:eastAsia="宋体" w:cs="黑体"/>
          <w:b/>
          <w:bCs/>
          <w:sz w:val="24"/>
          <w:szCs w:val="24"/>
        </w:rPr>
        <w:t>二、监理范围及内容</w:t>
      </w:r>
    </w:p>
    <w:tbl>
      <w:tblPr>
        <w:tblStyle w:val="21"/>
        <w:tblW w:w="0" w:type="auto"/>
        <w:jc w:val="center"/>
        <w:tblLayout w:type="fixed"/>
        <w:tblCellMar>
          <w:top w:w="0" w:type="dxa"/>
          <w:left w:w="10" w:type="dxa"/>
          <w:bottom w:w="0" w:type="dxa"/>
          <w:right w:w="10" w:type="dxa"/>
        </w:tblCellMar>
      </w:tblPr>
      <w:tblGrid>
        <w:gridCol w:w="1175"/>
        <w:gridCol w:w="2874"/>
        <w:gridCol w:w="1985"/>
        <w:gridCol w:w="3160"/>
      </w:tblGrid>
      <w:tr>
        <w:tblPrEx>
          <w:tblCellMar>
            <w:top w:w="0" w:type="dxa"/>
            <w:left w:w="10" w:type="dxa"/>
            <w:bottom w:w="0" w:type="dxa"/>
            <w:right w:w="10" w:type="dxa"/>
          </w:tblCellMar>
        </w:tblPrEx>
        <w:trPr>
          <w:cantSplit/>
          <w:trHeight w:val="794" w:hRule="exact"/>
          <w:jc w:val="center"/>
        </w:trPr>
        <w:tc>
          <w:tcPr>
            <w:tcW w:w="1175" w:type="dxa"/>
            <w:tcBorders>
              <w:top w:val="single" w:color="auto" w:sz="6" w:space="0"/>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500" w:lineRule="exact"/>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合同段</w:t>
            </w:r>
          </w:p>
        </w:tc>
        <w:tc>
          <w:tcPr>
            <w:tcW w:w="28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500" w:lineRule="exact"/>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建设地点</w:t>
            </w:r>
          </w:p>
        </w:tc>
        <w:tc>
          <w:tcPr>
            <w:tcW w:w="1985"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adjustRightInd w:val="0"/>
              <w:spacing w:line="500" w:lineRule="exact"/>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总长</w:t>
            </w:r>
          </w:p>
        </w:tc>
        <w:tc>
          <w:tcPr>
            <w:tcW w:w="3160" w:type="dxa"/>
            <w:tcBorders>
              <w:top w:val="single" w:color="auto" w:sz="6" w:space="0"/>
              <w:left w:val="single" w:color="auto" w:sz="6" w:space="0"/>
              <w:bottom w:val="single" w:color="auto" w:sz="6" w:space="0"/>
              <w:right w:val="single" w:color="auto" w:sz="8" w:space="0"/>
            </w:tcBorders>
            <w:noWrap w:val="0"/>
            <w:vAlign w:val="center"/>
          </w:tcPr>
          <w:p>
            <w:pPr>
              <w:keepNext w:val="0"/>
              <w:keepLines w:val="0"/>
              <w:pageBreakBefore w:val="0"/>
              <w:kinsoku/>
              <w:wordWrap/>
              <w:overflowPunct/>
              <w:topLinePunct w:val="0"/>
              <w:autoSpaceDE w:val="0"/>
              <w:autoSpaceDN w:val="0"/>
              <w:bidi w:val="0"/>
              <w:adjustRightInd w:val="0"/>
              <w:spacing w:line="500" w:lineRule="exact"/>
              <w:jc w:val="center"/>
              <w:rPr>
                <w:rFonts w:hint="eastAsia" w:asciiTheme="minorEastAsia" w:hAnsiTheme="minorEastAsia" w:eastAsiaTheme="minorEastAsia" w:cstheme="minorEastAsia"/>
                <w:b/>
                <w:bCs/>
                <w:color w:val="auto"/>
                <w:sz w:val="24"/>
                <w:szCs w:val="24"/>
                <w:lang w:val="zh-CN"/>
              </w:rPr>
            </w:pPr>
            <w:r>
              <w:rPr>
                <w:rFonts w:hint="eastAsia" w:asciiTheme="minorEastAsia" w:hAnsiTheme="minorEastAsia" w:eastAsiaTheme="minorEastAsia" w:cstheme="minorEastAsia"/>
                <w:b/>
                <w:bCs/>
                <w:color w:val="auto"/>
                <w:sz w:val="24"/>
                <w:szCs w:val="24"/>
                <w:lang w:val="zh-CN"/>
              </w:rPr>
              <w:t>资质要求</w:t>
            </w:r>
          </w:p>
        </w:tc>
      </w:tr>
      <w:tr>
        <w:tblPrEx>
          <w:tblCellMar>
            <w:top w:w="0" w:type="dxa"/>
            <w:left w:w="10" w:type="dxa"/>
            <w:bottom w:w="0" w:type="dxa"/>
            <w:right w:w="10" w:type="dxa"/>
          </w:tblCellMar>
        </w:tblPrEx>
        <w:trPr>
          <w:cantSplit/>
          <w:trHeight w:val="1361" w:hRule="exact"/>
          <w:jc w:val="center"/>
        </w:trPr>
        <w:tc>
          <w:tcPr>
            <w:tcW w:w="1175" w:type="dxa"/>
            <w:vMerge w:val="restart"/>
            <w:tcBorders>
              <w:top w:val="single" w:color="auto" w:sz="6" w:space="0"/>
              <w:left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napToGrid w:val="0"/>
              <w:spacing w:line="5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LJYHJL-1</w:t>
            </w:r>
          </w:p>
          <w:p>
            <w:pPr>
              <w:keepNext w:val="0"/>
              <w:keepLines w:val="0"/>
              <w:pageBreakBefore w:val="0"/>
              <w:kinsoku/>
              <w:wordWrap/>
              <w:overflowPunct/>
              <w:topLinePunct w:val="0"/>
              <w:autoSpaceDE w:val="0"/>
              <w:autoSpaceDN w:val="0"/>
              <w:bidi w:val="0"/>
              <w:snapToGrid w:val="0"/>
              <w:spacing w:line="500" w:lineRule="exact"/>
              <w:jc w:val="center"/>
              <w:rPr>
                <w:rFonts w:hint="eastAsia" w:asciiTheme="minorEastAsia" w:hAnsiTheme="minorEastAsia" w:eastAsiaTheme="minorEastAsia" w:cstheme="minorEastAsia"/>
                <w:color w:val="auto"/>
                <w:sz w:val="24"/>
                <w:szCs w:val="24"/>
              </w:rPr>
            </w:pPr>
          </w:p>
        </w:tc>
        <w:tc>
          <w:tcPr>
            <w:tcW w:w="28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二广段：K1148+341-K1172+688</w:t>
            </w:r>
          </w:p>
          <w:p>
            <w:pPr>
              <w:keepNext w:val="0"/>
              <w:keepLines w:val="0"/>
              <w:pageBreakBefore w:val="0"/>
              <w:kinsoku/>
              <w:wordWrap/>
              <w:overflowPunct/>
              <w:topLinePunct w:val="0"/>
              <w:autoSpaceDE w:val="0"/>
              <w:autoSpaceDN w:val="0"/>
              <w:bidi w:val="0"/>
              <w:spacing w:line="500" w:lineRule="exact"/>
              <w:jc w:val="center"/>
              <w:rPr>
                <w:rFonts w:hint="eastAsia" w:asciiTheme="minorEastAsia" w:hAnsiTheme="minorEastAsia" w:eastAsiaTheme="minorEastAsia" w:cstheme="minorEastAsia"/>
                <w:color w:val="auto"/>
                <w:sz w:val="24"/>
                <w:szCs w:val="24"/>
              </w:rPr>
            </w:pPr>
          </w:p>
        </w:tc>
        <w:tc>
          <w:tcPr>
            <w:tcW w:w="1985" w:type="dxa"/>
            <w:vMerge w:val="restart"/>
            <w:tcBorders>
              <w:top w:val="single" w:color="auto" w:sz="6" w:space="0"/>
              <w:left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jc w:val="center"/>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50.192公里</w:t>
            </w:r>
          </w:p>
        </w:tc>
        <w:tc>
          <w:tcPr>
            <w:tcW w:w="3160" w:type="dxa"/>
            <w:vMerge w:val="restart"/>
            <w:tcBorders>
              <w:top w:val="single" w:color="auto" w:sz="6" w:space="0"/>
              <w:left w:val="single" w:color="auto" w:sz="6" w:space="0"/>
              <w:right w:val="single" w:color="auto" w:sz="8" w:space="0"/>
            </w:tcBorders>
            <w:noWrap w:val="0"/>
            <w:vAlign w:val="center"/>
          </w:tcPr>
          <w:p>
            <w:pPr>
              <w:keepNext w:val="0"/>
              <w:keepLines w:val="0"/>
              <w:pageBreakBefore w:val="0"/>
              <w:kinsoku/>
              <w:wordWrap/>
              <w:overflowPunct/>
              <w:topLinePunct w:val="0"/>
              <w:autoSpaceDE w:val="0"/>
              <w:autoSpaceDN w:val="0"/>
              <w:bidi w:val="0"/>
              <w:spacing w:line="500" w:lineRule="exact"/>
              <w:jc w:val="center"/>
              <w:rPr>
                <w:rFonts w:hint="eastAsia" w:asciiTheme="minorEastAsia" w:hAnsiTheme="minorEastAsia" w:eastAsiaTheme="minorEastAsia" w:cstheme="minorEastAsia"/>
                <w:color w:val="auto"/>
                <w:kern w:val="10"/>
                <w:sz w:val="24"/>
                <w:szCs w:val="24"/>
              </w:rPr>
            </w:pPr>
            <w:r>
              <w:rPr>
                <w:rFonts w:hint="eastAsia" w:asciiTheme="minorEastAsia" w:hAnsiTheme="minorEastAsia" w:eastAsiaTheme="minorEastAsia" w:cstheme="minorEastAsia"/>
                <w:color w:val="auto"/>
                <w:sz w:val="24"/>
                <w:szCs w:val="24"/>
              </w:rPr>
              <w:t>具有交通运输部颁发的公路工程甲级监理资质证书</w:t>
            </w:r>
          </w:p>
        </w:tc>
      </w:tr>
      <w:tr>
        <w:tblPrEx>
          <w:tblCellMar>
            <w:top w:w="0" w:type="dxa"/>
            <w:left w:w="10" w:type="dxa"/>
            <w:bottom w:w="0" w:type="dxa"/>
            <w:right w:w="10" w:type="dxa"/>
          </w:tblCellMar>
        </w:tblPrEx>
        <w:trPr>
          <w:cantSplit/>
          <w:trHeight w:val="1371" w:hRule="exact"/>
          <w:jc w:val="center"/>
        </w:trPr>
        <w:tc>
          <w:tcPr>
            <w:tcW w:w="1175" w:type="dxa"/>
            <w:vMerge w:val="continue"/>
            <w:tcBorders>
              <w:left w:val="single" w:color="auto" w:sz="6" w:space="0"/>
              <w:bottom w:val="single" w:color="auto" w:sz="4" w:space="0"/>
              <w:right w:val="single" w:color="auto" w:sz="6" w:space="0"/>
            </w:tcBorders>
            <w:noWrap w:val="0"/>
            <w:vAlign w:val="center"/>
          </w:tcPr>
          <w:p>
            <w:pPr>
              <w:keepNext w:val="0"/>
              <w:keepLines w:val="0"/>
              <w:pageBreakBefore w:val="0"/>
              <w:kinsoku/>
              <w:wordWrap/>
              <w:overflowPunct/>
              <w:topLinePunct w:val="0"/>
              <w:autoSpaceDE w:val="0"/>
              <w:autoSpaceDN w:val="0"/>
              <w:bidi w:val="0"/>
              <w:snapToGrid w:val="0"/>
              <w:spacing w:line="500" w:lineRule="exact"/>
              <w:jc w:val="center"/>
              <w:rPr>
                <w:rFonts w:hint="eastAsia" w:asciiTheme="minorEastAsia" w:hAnsiTheme="minorEastAsia" w:eastAsiaTheme="minorEastAsia" w:cstheme="minorEastAsia"/>
                <w:color w:val="0000FF"/>
                <w:sz w:val="24"/>
                <w:szCs w:val="24"/>
              </w:rPr>
            </w:pPr>
          </w:p>
        </w:tc>
        <w:tc>
          <w:tcPr>
            <w:tcW w:w="2874"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jc w:val="center"/>
              <w:rPr>
                <w:rFonts w:hint="eastAsia" w:asciiTheme="minorEastAsia" w:hAnsiTheme="minorEastAsia" w:eastAsiaTheme="minorEastAsia" w:cstheme="minorEastAsia"/>
                <w:color w:val="0000FF"/>
                <w:sz w:val="24"/>
                <w:szCs w:val="24"/>
              </w:rPr>
            </w:pPr>
            <w:r>
              <w:rPr>
                <w:rFonts w:hint="eastAsia" w:asciiTheme="minorEastAsia" w:hAnsiTheme="minorEastAsia" w:eastAsiaTheme="minorEastAsia" w:cstheme="minorEastAsia"/>
                <w:color w:val="auto"/>
                <w:sz w:val="24"/>
                <w:szCs w:val="24"/>
              </w:rPr>
              <w:t>宁洛段：K718+792-K692+947</w:t>
            </w:r>
          </w:p>
        </w:tc>
        <w:tc>
          <w:tcPr>
            <w:tcW w:w="1985" w:type="dxa"/>
            <w:vMerge w:val="continue"/>
            <w:tcBorders>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jc w:val="center"/>
              <w:rPr>
                <w:rFonts w:hint="eastAsia" w:asciiTheme="minorEastAsia" w:hAnsiTheme="minorEastAsia" w:eastAsiaTheme="minorEastAsia" w:cstheme="minorEastAsia"/>
                <w:sz w:val="24"/>
                <w:szCs w:val="24"/>
              </w:rPr>
            </w:pPr>
          </w:p>
        </w:tc>
        <w:tc>
          <w:tcPr>
            <w:tcW w:w="3160" w:type="dxa"/>
            <w:vMerge w:val="continue"/>
            <w:tcBorders>
              <w:left w:val="single" w:color="auto" w:sz="6" w:space="0"/>
              <w:bottom w:val="single" w:color="auto" w:sz="6" w:space="0"/>
              <w:right w:val="single" w:color="auto" w:sz="8" w:space="0"/>
            </w:tcBorders>
            <w:noWrap w:val="0"/>
            <w:vAlign w:val="center"/>
          </w:tcPr>
          <w:p>
            <w:pPr>
              <w:keepNext w:val="0"/>
              <w:keepLines w:val="0"/>
              <w:pageBreakBefore w:val="0"/>
              <w:kinsoku/>
              <w:wordWrap/>
              <w:overflowPunct/>
              <w:topLinePunct w:val="0"/>
              <w:autoSpaceDE w:val="0"/>
              <w:autoSpaceDN w:val="0"/>
              <w:bidi w:val="0"/>
              <w:adjustRightInd w:val="0"/>
              <w:snapToGrid w:val="0"/>
              <w:spacing w:line="500" w:lineRule="exact"/>
              <w:rPr>
                <w:rFonts w:hint="eastAsia" w:asciiTheme="minorEastAsia" w:hAnsiTheme="minorEastAsia" w:eastAsiaTheme="minorEastAsia" w:cstheme="minorEastAsia"/>
                <w:kern w:val="10"/>
                <w:sz w:val="24"/>
                <w:szCs w:val="24"/>
              </w:rPr>
            </w:pPr>
          </w:p>
        </w:tc>
      </w:tr>
    </w:tbl>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highlight w:val="yellow"/>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highlight w:val="none"/>
        </w:rPr>
        <w:t>本项目监理服务期</w:t>
      </w:r>
      <w:r>
        <w:rPr>
          <w:rFonts w:hint="eastAsia" w:asciiTheme="minorEastAsia" w:hAnsiTheme="minorEastAsia" w:eastAsiaTheme="minorEastAsia" w:cstheme="minorEastAsia"/>
          <w:sz w:val="24"/>
          <w:szCs w:val="24"/>
          <w:highlight w:val="none"/>
          <w:lang w:eastAsia="zh-CN"/>
        </w:rPr>
        <w:t>：施工工期24个月及缺陷责任服务期</w:t>
      </w:r>
    </w:p>
    <w:p>
      <w:pPr>
        <w:keepNext w:val="0"/>
        <w:keepLines w:val="0"/>
        <w:pageBreakBefore w:val="0"/>
        <w:kinsoku/>
        <w:wordWrap/>
        <w:overflowPunct/>
        <w:topLinePunct w:val="0"/>
        <w:autoSpaceDE w:val="0"/>
        <w:autoSpaceDN w:val="0"/>
        <w:bidi w:val="0"/>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3、本次监理招标为</w:t>
      </w:r>
      <w:r>
        <w:rPr>
          <w:rFonts w:hint="eastAsia" w:asciiTheme="minorEastAsia" w:hAnsiTheme="minorEastAsia" w:eastAsiaTheme="minorEastAsia" w:cstheme="minorEastAsia"/>
          <w:sz w:val="24"/>
          <w:szCs w:val="24"/>
          <w:shd w:val="clear" w:color="auto" w:fill="auto"/>
        </w:rPr>
        <w:t>1个</w:t>
      </w:r>
      <w:r>
        <w:rPr>
          <w:rFonts w:hint="eastAsia" w:asciiTheme="minorEastAsia" w:hAnsiTheme="minorEastAsia" w:eastAsiaTheme="minorEastAsia" w:cstheme="minorEastAsia"/>
          <w:sz w:val="24"/>
          <w:szCs w:val="24"/>
        </w:rPr>
        <w:t>合同段，主要负责日常养护工程施工的监理服务。</w:t>
      </w:r>
    </w:p>
    <w:p>
      <w:pPr>
        <w:keepNext w:val="0"/>
        <w:keepLines w:val="0"/>
        <w:pageBreakBefore w:val="0"/>
        <w:kinsoku/>
        <w:wordWrap/>
        <w:overflowPunct/>
        <w:topLinePunct w:val="0"/>
        <w:autoSpaceDE w:val="0"/>
        <w:autoSpaceDN w:val="0"/>
        <w:bidi w:val="0"/>
        <w:adjustRightInd w:val="0"/>
        <w:snapToGrid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2.3.1项目将严格按照交公路发[2006]40号文颁发的《公路工程施工监理规范》（JTG G10-2006）的规定组织施工监理的招投标、设置各级监理机构，实行“政府监督、社会监理、企业自检”的质量保证体系，管理监理工作中的各项事务。</w:t>
      </w:r>
    </w:p>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本次中标单位根据施工标段设监理办公室1个负责确认养护工程的数量和质量；审阅承包商付款申请并保留帐目记录，审阅具体的工程量；准备完整的工程月报；组织并主持每月养护例会，协调并解决各方存在问题；审阅承包商提交的主要的合同单价、增补工程量清单，报业主审批后执行；各标段监理人员要做好对养护工程的质量控制、安全生产管理及文明施工管理，并认真记录每天的监理工作日志。 </w:t>
      </w:r>
    </w:p>
    <w:p>
      <w:pPr>
        <w:keepNext w:val="0"/>
        <w:keepLines w:val="0"/>
        <w:pageBreakBefore w:val="0"/>
        <w:kinsoku/>
        <w:wordWrap/>
        <w:overflowPunct/>
        <w:topLinePunct w:val="0"/>
        <w:autoSpaceDE w:val="0"/>
        <w:autoSpaceDN w:val="0"/>
        <w:bidi w:val="0"/>
        <w:spacing w:line="500" w:lineRule="exact"/>
        <w:jc w:val="left"/>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2.3.2监理工作内容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监理工作内容包括施工准备阶段监理服务、施工阶段监理服务、缺陷责任期阶段的工程监理及交、竣工验收监理服务等工作。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2.3.2.1保养工程：路基、路面、防护及排水工程、桥梁结构物、交通安全设施等的保养，如高速公路绿化保养、路面保洁、排水设施疏通等。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2.3.2.2小修工程：路基、路面、防护及排水工程、桥梁结构物、交通安全设施等的小修，主要包括路面车辙、裂缝、坑槽等病害处理，路基浆砌片石勾缝整修，涵洞勾缝维修，桥梁支座维修，伸缩缝维修，梁体维修等，标志、标牌的维修、增设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2.3.2.3绿化工程：中分带、互通区及边沟外侧植被的修剪、浇水、施肥、除虫等日常养护工作。</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2.3.2.4养护巡查：包括日常巡查，专项巡查，定期巡查，特殊巡查等有关巡查内容；审核养护施工单位上报的巡查记录，复核有关养护巡查内容。</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其中，定期巡查可采用乘车或徒步的方式。乘车巡查每周不少于1次，徒步巡查每3个月不少于1次。定期巡查由监理工程师负责，承包人配合。</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定期巡查内容如下：</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1、路基</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路肩边沟不洁、路肩损坏、边坡坍塌、水毁冲沟、路基构造物损坏、路缘石（拦水带）缺损、路基沉降、排水系统淤塞等。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2、路面</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龟裂、块状裂缝、纵向裂缝、横向裂缝、坑槽、松散、沉陷、波浪壅包、泛油、修补等。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3、交通安全设施、绿化</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防护设施缺损、隔离栅损坏、标志缺损、标线缺损、绿化管养不善等。</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  定期巡查结束后按《公路技术状况评定标准》 ( JTG H20-2007)的要求，填写“沥青路面损坏调查表（A-1）”、“路基损坏调查表(A-4)”、“沿线设施损坏调查表（A-6）”，并按业主要求编制、上报有关技术报告、工作总结、工作计划及汇报材料等。</w:t>
      </w:r>
    </w:p>
    <w:p>
      <w:pPr>
        <w:keepNext w:val="0"/>
        <w:keepLines w:val="0"/>
        <w:pageBreakBefore w:val="0"/>
        <w:numPr>
          <w:ilvl w:val="0"/>
          <w:numId w:val="5"/>
        </w:numPr>
        <w:kinsoku/>
        <w:wordWrap/>
        <w:overflowPunct/>
        <w:topLinePunct w:val="0"/>
        <w:autoSpaceDE w:val="0"/>
        <w:autoSpaceDN w:val="0"/>
        <w:bidi w:val="0"/>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监理人办公及试验要求</w:t>
      </w:r>
    </w:p>
    <w:p>
      <w:pPr>
        <w:keepNext w:val="0"/>
        <w:keepLines w:val="0"/>
        <w:pageBreakBefore w:val="0"/>
        <w:kinsoku/>
        <w:wordWrap/>
        <w:overflowPunct/>
        <w:topLinePunct w:val="0"/>
        <w:autoSpaceDE w:val="0"/>
        <w:autoSpaceDN w:val="0"/>
        <w:bidi w:val="0"/>
        <w:spacing w:line="5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2.1监理人应按下表配备办公用品</w:t>
      </w:r>
    </w:p>
    <w:tbl>
      <w:tblPr>
        <w:tblStyle w:val="21"/>
        <w:tblW w:w="4999" w:type="pct"/>
        <w:jc w:val="center"/>
        <w:tblLayout w:type="autofit"/>
        <w:tblCellMar>
          <w:top w:w="0" w:type="dxa"/>
          <w:left w:w="108" w:type="dxa"/>
          <w:bottom w:w="0" w:type="dxa"/>
          <w:right w:w="108" w:type="dxa"/>
        </w:tblCellMar>
      </w:tblPr>
      <w:tblGrid>
        <w:gridCol w:w="844"/>
        <w:gridCol w:w="2477"/>
        <w:gridCol w:w="1984"/>
        <w:gridCol w:w="844"/>
        <w:gridCol w:w="844"/>
        <w:gridCol w:w="1531"/>
      </w:tblGrid>
      <w:tr>
        <w:tblPrEx>
          <w:tblCellMar>
            <w:top w:w="0" w:type="dxa"/>
            <w:left w:w="108" w:type="dxa"/>
            <w:bottom w:w="0" w:type="dxa"/>
            <w:right w:w="108" w:type="dxa"/>
          </w:tblCellMar>
        </w:tblPrEx>
        <w:trPr>
          <w:trHeight w:val="913" w:hRule="atLeast"/>
          <w:jc w:val="center"/>
        </w:trPr>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序号</w:t>
            </w:r>
          </w:p>
        </w:tc>
        <w:tc>
          <w:tcPr>
            <w:tcW w:w="1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类型</w:t>
            </w:r>
          </w:p>
        </w:tc>
        <w:tc>
          <w:tcPr>
            <w:tcW w:w="116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要求</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pacing w:val="5"/>
                <w:kern w:val="0"/>
                <w:sz w:val="24"/>
                <w:szCs w:val="24"/>
              </w:rPr>
            </w:pPr>
            <w:r>
              <w:rPr>
                <w:rFonts w:hint="eastAsia" w:asciiTheme="minorEastAsia" w:hAnsiTheme="minorEastAsia" w:eastAsiaTheme="minorEastAsia" w:cstheme="minorEastAsia"/>
                <w:spacing w:val="5"/>
                <w:kern w:val="0"/>
                <w:sz w:val="24"/>
                <w:szCs w:val="24"/>
              </w:rPr>
              <w:t>单位</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数量</w:t>
            </w:r>
          </w:p>
        </w:tc>
        <w:tc>
          <w:tcPr>
            <w:tcW w:w="8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kern w:val="0"/>
                <w:sz w:val="24"/>
                <w:szCs w:val="24"/>
              </w:rPr>
              <w:t>备    注</w:t>
            </w:r>
          </w:p>
        </w:tc>
      </w:tr>
      <w:tr>
        <w:tblPrEx>
          <w:tblCellMar>
            <w:top w:w="0" w:type="dxa"/>
            <w:left w:w="108" w:type="dxa"/>
            <w:bottom w:w="0" w:type="dxa"/>
            <w:right w:w="108" w:type="dxa"/>
          </w:tblCellMar>
        </w:tblPrEx>
        <w:trPr>
          <w:trHeight w:val="740" w:hRule="atLeast"/>
          <w:jc w:val="center"/>
        </w:trPr>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小型车辆</w:t>
            </w:r>
          </w:p>
        </w:tc>
        <w:tc>
          <w:tcPr>
            <w:tcW w:w="116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5万公里以内</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辆</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before="156" w:beforeLines="50" w:after="156" w:afterLines="50" w:line="5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1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电脑（含桌椅）</w:t>
            </w:r>
          </w:p>
        </w:tc>
        <w:tc>
          <w:tcPr>
            <w:tcW w:w="116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8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9" w:hRule="atLeast"/>
          <w:jc w:val="center"/>
        </w:trPr>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3</w:t>
            </w:r>
          </w:p>
        </w:tc>
        <w:tc>
          <w:tcPr>
            <w:tcW w:w="1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数码相机</w:t>
            </w:r>
          </w:p>
        </w:tc>
        <w:tc>
          <w:tcPr>
            <w:tcW w:w="116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4</w:t>
            </w:r>
          </w:p>
        </w:tc>
        <w:tc>
          <w:tcPr>
            <w:tcW w:w="1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打印机</w:t>
            </w:r>
          </w:p>
        </w:tc>
        <w:tc>
          <w:tcPr>
            <w:tcW w:w="116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复印机</w:t>
            </w:r>
          </w:p>
        </w:tc>
        <w:tc>
          <w:tcPr>
            <w:tcW w:w="116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w:t>
            </w:r>
          </w:p>
        </w:tc>
        <w:tc>
          <w:tcPr>
            <w:tcW w:w="1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扫描仪</w:t>
            </w:r>
          </w:p>
        </w:tc>
        <w:tc>
          <w:tcPr>
            <w:tcW w:w="116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71" w:hRule="atLeast"/>
          <w:jc w:val="center"/>
        </w:trPr>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p>
        </w:tc>
        <w:tc>
          <w:tcPr>
            <w:tcW w:w="1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传真电话机</w:t>
            </w:r>
          </w:p>
        </w:tc>
        <w:tc>
          <w:tcPr>
            <w:tcW w:w="116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r>
        <w:tblPrEx>
          <w:tblCellMar>
            <w:top w:w="0" w:type="dxa"/>
            <w:left w:w="108" w:type="dxa"/>
            <w:bottom w:w="0" w:type="dxa"/>
            <w:right w:w="108" w:type="dxa"/>
          </w:tblCellMar>
        </w:tblPrEx>
        <w:trPr>
          <w:trHeight w:val="585" w:hRule="atLeast"/>
          <w:jc w:val="center"/>
        </w:trPr>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w:t>
            </w:r>
          </w:p>
        </w:tc>
        <w:tc>
          <w:tcPr>
            <w:tcW w:w="1452"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摄像机</w:t>
            </w:r>
          </w:p>
        </w:tc>
        <w:tc>
          <w:tcPr>
            <w:tcW w:w="1163"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全新</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kinsoku/>
              <w:wordWrap/>
              <w:overflowPunct/>
              <w:topLinePunct w:val="0"/>
              <w:autoSpaceDE w:val="0"/>
              <w:autoSpaceDN w:val="0"/>
              <w:bidi w:val="0"/>
              <w:spacing w:line="500" w:lineRule="exact"/>
              <w:jc w:val="center"/>
              <w:textAlignment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部</w:t>
            </w:r>
          </w:p>
        </w:tc>
        <w:tc>
          <w:tcPr>
            <w:tcW w:w="495"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p>
        </w:tc>
        <w:tc>
          <w:tcPr>
            <w:tcW w:w="897" w:type="pct"/>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kinsoku/>
              <w:wordWrap/>
              <w:overflowPunct/>
              <w:topLinePunct w:val="0"/>
              <w:autoSpaceDE w:val="0"/>
              <w:autoSpaceDN w:val="0"/>
              <w:bidi w:val="0"/>
              <w:spacing w:line="500" w:lineRule="exact"/>
              <w:ind w:left="-90"/>
              <w:jc w:val="center"/>
              <w:rPr>
                <w:rFonts w:hint="eastAsia" w:asciiTheme="minorEastAsia" w:hAnsiTheme="minorEastAsia" w:eastAsiaTheme="minorEastAsia" w:cstheme="minorEastAsia"/>
                <w:sz w:val="24"/>
                <w:szCs w:val="24"/>
              </w:rPr>
            </w:pPr>
          </w:p>
        </w:tc>
      </w:tr>
    </w:tbl>
    <w:p>
      <w:pPr>
        <w:keepNext w:val="0"/>
        <w:keepLines w:val="0"/>
        <w:pageBreakBefore w:val="0"/>
        <w:kinsoku/>
        <w:wordWrap/>
        <w:overflowPunct/>
        <w:topLinePunct w:val="0"/>
        <w:autoSpaceDE w:val="0"/>
        <w:autoSpaceDN w:val="0"/>
        <w:bidi w:val="0"/>
        <w:spacing w:line="50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说明：1.表中车辆要求为本项目的最低要求。</w:t>
      </w:r>
    </w:p>
    <w:p>
      <w:pPr>
        <w:keepNext w:val="0"/>
        <w:keepLines w:val="0"/>
        <w:pageBreakBefore w:val="0"/>
        <w:numPr>
          <w:ilvl w:val="0"/>
          <w:numId w:val="5"/>
        </w:numPr>
        <w:kinsoku/>
        <w:wordWrap/>
        <w:overflowPunct/>
        <w:topLinePunct w:val="0"/>
        <w:autoSpaceDE w:val="0"/>
        <w:autoSpaceDN w:val="0"/>
        <w:bidi w:val="0"/>
        <w:spacing w:line="500" w:lineRule="exact"/>
        <w:ind w:left="0" w:leftChars="0" w:firstLine="0" w:firstLine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监理人员要求</w:t>
      </w:r>
    </w:p>
    <w:p>
      <w:pPr>
        <w:pStyle w:val="2"/>
        <w:keepNext w:val="0"/>
        <w:keepLines w:val="0"/>
        <w:pageBreakBefore w:val="0"/>
        <w:numPr>
          <w:ilvl w:val="0"/>
          <w:numId w:val="0"/>
        </w:numPr>
        <w:kinsoku/>
        <w:wordWrap/>
        <w:overflowPunct/>
        <w:topLinePunct w:val="0"/>
        <w:autoSpaceDE w:val="0"/>
        <w:autoSpaceDN w:val="0"/>
        <w:bidi w:val="0"/>
        <w:spacing w:line="500" w:lineRule="exact"/>
        <w:ind w:leftChars="0"/>
        <w:rPr>
          <w:rFonts w:hint="eastAsia"/>
          <w:lang w:val="en-US" w:eastAsia="zh-CN"/>
        </w:rPr>
      </w:pPr>
      <w:r>
        <w:rPr>
          <w:rFonts w:hint="eastAsia" w:asciiTheme="minorEastAsia" w:hAnsiTheme="minorEastAsia" w:eastAsiaTheme="minorEastAsia" w:cstheme="minorEastAsia"/>
          <w:sz w:val="24"/>
          <w:szCs w:val="24"/>
          <w:lang w:val="en-US" w:eastAsia="zh-CN"/>
        </w:rPr>
        <w:t>项目总监1名，监理员至少6名，（出具承诺书，格式自拟）</w:t>
      </w:r>
    </w:p>
    <w:p>
      <w:pPr>
        <w:rPr>
          <w:rFonts w:hint="default"/>
          <w:lang w:val="en-US" w:eastAsia="zh-CN"/>
        </w:rPr>
      </w:pPr>
    </w:p>
    <w:p>
      <w:pPr>
        <w:spacing w:line="360" w:lineRule="exact"/>
        <w:jc w:val="left"/>
        <w:rPr>
          <w:rFonts w:hint="eastAsia" w:ascii="宋体 ，Arial" w:hAnsi="宋体 ，Arial" w:eastAsia="宋体 ，Arial" w:cs="宋体 ，Arial"/>
          <w:color w:val="000000"/>
          <w:szCs w:val="21"/>
        </w:rPr>
      </w:pPr>
    </w:p>
    <w:p/>
    <w:p>
      <w:pPr>
        <w:pStyle w:val="12"/>
        <w:rPr>
          <w:sz w:val="20"/>
        </w:rPr>
      </w:pPr>
    </w:p>
    <w:p>
      <w:pPr>
        <w:rPr>
          <w:rFonts w:hint="eastAsia" w:ascii="宋体" w:hAnsi="宋体" w:eastAsia="宋体"/>
          <w:b/>
          <w:sz w:val="32"/>
          <w:szCs w:val="32"/>
        </w:rPr>
      </w:pPr>
      <w:r>
        <w:rPr>
          <w:rFonts w:hint="eastAsia" w:ascii="宋体" w:hAnsi="宋体" w:eastAsia="宋体"/>
          <w:b/>
          <w:sz w:val="32"/>
          <w:szCs w:val="32"/>
        </w:rPr>
        <w:br w:type="page"/>
      </w:r>
    </w:p>
    <w:p>
      <w:pPr>
        <w:pStyle w:val="3"/>
        <w:bidi w:val="0"/>
        <w:rPr>
          <w:rFonts w:hint="eastAsia" w:ascii="宋体" w:hAnsi="宋体" w:eastAsia="宋体" w:cs="宋体"/>
          <w:sz w:val="32"/>
          <w:szCs w:val="32"/>
        </w:rPr>
      </w:pPr>
      <w:bookmarkStart w:id="228" w:name="_Toc27857"/>
      <w:r>
        <w:rPr>
          <w:rFonts w:hint="eastAsia" w:ascii="宋体" w:hAnsi="宋体" w:eastAsia="宋体" w:cs="宋体"/>
          <w:sz w:val="32"/>
          <w:szCs w:val="32"/>
        </w:rPr>
        <w:t>第</w:t>
      </w:r>
      <w:r>
        <w:rPr>
          <w:rFonts w:hint="eastAsia" w:ascii="宋体" w:hAnsi="宋体" w:eastAsia="宋体" w:cs="宋体"/>
          <w:sz w:val="32"/>
          <w:szCs w:val="32"/>
          <w:lang w:eastAsia="zh-CN"/>
        </w:rPr>
        <w:t>四</w:t>
      </w:r>
      <w:r>
        <w:rPr>
          <w:rFonts w:hint="eastAsia" w:ascii="宋体" w:hAnsi="宋体" w:eastAsia="宋体" w:cs="宋体"/>
          <w:sz w:val="32"/>
          <w:szCs w:val="32"/>
        </w:rPr>
        <w:t>章</w:t>
      </w: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评审办法</w:t>
      </w:r>
      <w:bookmarkEnd w:id="228"/>
    </w:p>
    <w:p>
      <w:pPr>
        <w:spacing w:line="276" w:lineRule="auto"/>
        <w:rPr>
          <w:rFonts w:ascii="宋体" w:hAnsi="宋体" w:eastAsia="宋体"/>
          <w:b/>
          <w:bCs/>
          <w:sz w:val="24"/>
        </w:rPr>
      </w:pPr>
      <w:r>
        <w:rPr>
          <w:rFonts w:hint="eastAsia" w:ascii="宋体" w:hAnsi="宋体" w:eastAsia="宋体"/>
          <w:b/>
          <w:bCs/>
          <w:sz w:val="24"/>
        </w:rPr>
        <w:t>评审办法前附表</w:t>
      </w:r>
    </w:p>
    <w:tbl>
      <w:tblPr>
        <w:tblStyle w:val="21"/>
        <w:tblW w:w="8418"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6"/>
        <w:gridCol w:w="2297"/>
        <w:gridCol w:w="5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条款</w:t>
            </w:r>
          </w:p>
        </w:tc>
        <w:tc>
          <w:tcPr>
            <w:tcW w:w="2297" w:type="dxa"/>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评审因素</w:t>
            </w:r>
          </w:p>
        </w:tc>
        <w:tc>
          <w:tcPr>
            <w:tcW w:w="5105" w:type="dxa"/>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restart"/>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1、资格审查标准</w:t>
            </w: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营业执照</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具备有效的营业执照原件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资质</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p>
            <w:pPr>
              <w:widowControl/>
              <w:spacing w:line="276" w:lineRule="auto"/>
              <w:rPr>
                <w:rFonts w:ascii="宋体" w:hAnsi="宋体" w:eastAsia="宋体" w:cs="宋体"/>
                <w:sz w:val="24"/>
                <w:szCs w:val="24"/>
              </w:rPr>
            </w:pPr>
            <w:r>
              <w:rPr>
                <w:rFonts w:hint="eastAsia" w:ascii="宋体" w:hAnsi="宋体" w:eastAsia="宋体"/>
                <w:sz w:val="24"/>
                <w:szCs w:val="24"/>
              </w:rPr>
              <w:t>须提供资质证书原件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企业业绩</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总监理工程师要求</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p>
            <w:pPr>
              <w:widowControl/>
              <w:spacing w:line="276" w:lineRule="auto"/>
              <w:rPr>
                <w:rFonts w:ascii="宋体" w:hAnsi="宋体" w:eastAsia="宋体" w:cs="宋体"/>
                <w:sz w:val="24"/>
                <w:szCs w:val="24"/>
              </w:rPr>
            </w:pPr>
            <w:r>
              <w:rPr>
                <w:rFonts w:hint="eastAsia" w:ascii="宋体" w:hAnsi="宋体" w:eastAsia="宋体"/>
                <w:sz w:val="24"/>
                <w:szCs w:val="24"/>
              </w:rPr>
              <w:t>须提供监理工程师证书原件、</w:t>
            </w:r>
            <w:r>
              <w:rPr>
                <w:rFonts w:hint="eastAsia" w:ascii="宋体" w:hAnsi="宋体" w:eastAsia="宋体" w:cs="宋体"/>
                <w:sz w:val="24"/>
                <w:szCs w:val="24"/>
              </w:rPr>
              <w:t>职称证原件。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信用查询记录</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p>
            <w:pPr>
              <w:widowControl/>
              <w:spacing w:line="276" w:lineRule="auto"/>
              <w:rPr>
                <w:rFonts w:ascii="宋体" w:hAnsi="宋体" w:eastAsia="宋体" w:cs="宋体"/>
                <w:sz w:val="24"/>
                <w:szCs w:val="24"/>
              </w:rPr>
            </w:pPr>
            <w:r>
              <w:rPr>
                <w:rFonts w:hint="eastAsia" w:ascii="宋体" w:hAnsi="宋体" w:eastAsia="宋体"/>
                <w:sz w:val="24"/>
                <w:szCs w:val="24"/>
              </w:rPr>
              <w:t>须提供</w:t>
            </w:r>
            <w:r>
              <w:rPr>
                <w:rFonts w:hint="eastAsia" w:ascii="宋体" w:hAnsi="宋体" w:eastAsia="宋体" w:cs="宋体"/>
                <w:sz w:val="24"/>
                <w:szCs w:val="24"/>
              </w:rPr>
              <w:t>查询结果网页打印件并加盖公章。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审计报告</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税收和社会保障资金证明</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7402" w:type="dxa"/>
            <w:gridSpan w:val="2"/>
            <w:shd w:val="clear" w:color="auto" w:fill="auto"/>
            <w:noWrap/>
            <w:vAlign w:val="center"/>
          </w:tcPr>
          <w:p>
            <w:pPr>
              <w:tabs>
                <w:tab w:val="left" w:pos="1520"/>
              </w:tabs>
              <w:spacing w:line="276" w:lineRule="auto"/>
              <w:rPr>
                <w:rFonts w:ascii="宋体" w:hAnsi="宋体" w:eastAsia="宋体" w:cs="宋体"/>
                <w:sz w:val="24"/>
                <w:szCs w:val="24"/>
              </w:rPr>
            </w:pPr>
            <w:r>
              <w:rPr>
                <w:rFonts w:hint="eastAsia" w:ascii="宋体" w:hAnsi="宋体" w:eastAsia="宋体" w:cs="宋体"/>
                <w:sz w:val="24"/>
                <w:szCs w:val="24"/>
              </w:rPr>
              <w:t>上述要求资料的复印件盖章装订在响应文件中，否则视为资格审查不通过。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restart"/>
            <w:shd w:val="clear" w:color="auto" w:fill="auto"/>
            <w:noWrap/>
            <w:vAlign w:val="center"/>
          </w:tcPr>
          <w:p>
            <w:pPr>
              <w:widowControl/>
              <w:spacing w:line="276" w:lineRule="auto"/>
              <w:jc w:val="center"/>
              <w:rPr>
                <w:rFonts w:ascii="宋体" w:hAnsi="宋体" w:eastAsia="宋体" w:cs="宋体"/>
                <w:sz w:val="24"/>
                <w:szCs w:val="24"/>
              </w:rPr>
            </w:pPr>
            <w:r>
              <w:rPr>
                <w:rFonts w:hint="eastAsia" w:ascii="宋体" w:hAnsi="宋体" w:eastAsia="宋体" w:cs="宋体"/>
                <w:sz w:val="24"/>
                <w:szCs w:val="24"/>
              </w:rPr>
              <w:t>2、符合性审查标准</w:t>
            </w: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供应商名称</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与营业执照、资格证书一致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响应文件装订及数量</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3"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响应文件签字盖章</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由法定代表人（单位负责人）或其委托代理人在规定处签字或加盖单位公章。由法定代表人（单位负责人）签字的，应附法定代表人（单位负责人）身份证明，由代理人签字的，应附授权委托书。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1016" w:type="dxa"/>
            <w:vMerge w:val="continue"/>
            <w:shd w:val="clear" w:color="auto" w:fill="auto"/>
            <w:noWrap/>
            <w:vAlign w:val="center"/>
          </w:tcPr>
          <w:p>
            <w:pPr>
              <w:widowControl/>
              <w:spacing w:line="276" w:lineRule="auto"/>
              <w:jc w:val="center"/>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报价</w:t>
            </w:r>
          </w:p>
        </w:tc>
        <w:tc>
          <w:tcPr>
            <w:tcW w:w="5105"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只能有一个有效报价，且最后报价未超过预算控制金额，并按规定填报</w:t>
            </w:r>
            <w:r>
              <w:rPr>
                <w:rFonts w:hint="eastAsia" w:ascii="宋体" w:hAnsi="宋体" w:eastAsia="宋体"/>
                <w:sz w:val="24"/>
                <w:szCs w:val="24"/>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cs="宋体"/>
                <w:sz w:val="24"/>
                <w:szCs w:val="24"/>
              </w:rPr>
            </w:pPr>
            <w:r>
              <w:rPr>
                <w:rFonts w:hint="eastAsia" w:ascii="宋体" w:hAnsi="宋体" w:eastAsia="宋体" w:cs="宋体"/>
                <w:sz w:val="24"/>
                <w:szCs w:val="24"/>
              </w:rPr>
              <w:t>响应文件有效期</w:t>
            </w:r>
          </w:p>
        </w:tc>
        <w:tc>
          <w:tcPr>
            <w:tcW w:w="5105" w:type="dxa"/>
            <w:shd w:val="clear" w:color="auto" w:fill="auto"/>
            <w:noWrap/>
          </w:tcPr>
          <w:p>
            <w:pPr>
              <w:spacing w:line="276" w:lineRule="auto"/>
              <w:rPr>
                <w:rFonts w:ascii="宋体" w:hAnsi="宋体" w:eastAsia="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widowControl/>
              <w:spacing w:line="276" w:lineRule="auto"/>
              <w:rPr>
                <w:rFonts w:ascii="宋体" w:hAnsi="宋体" w:eastAsia="宋体" w:cs="宋体"/>
                <w:sz w:val="24"/>
                <w:szCs w:val="24"/>
              </w:rPr>
            </w:pPr>
          </w:p>
        </w:tc>
        <w:tc>
          <w:tcPr>
            <w:tcW w:w="2297" w:type="dxa"/>
            <w:shd w:val="clear" w:color="auto" w:fill="auto"/>
            <w:noWrap/>
            <w:vAlign w:val="center"/>
          </w:tcPr>
          <w:p>
            <w:pPr>
              <w:widowControl/>
              <w:spacing w:line="276" w:lineRule="auto"/>
              <w:rPr>
                <w:rFonts w:ascii="宋体" w:hAnsi="宋体" w:eastAsia="宋体"/>
                <w:sz w:val="24"/>
                <w:szCs w:val="24"/>
              </w:rPr>
            </w:pPr>
            <w:r>
              <w:rPr>
                <w:rFonts w:hint="eastAsia" w:ascii="宋体" w:hAnsi="宋体" w:eastAsia="宋体"/>
                <w:sz w:val="24"/>
                <w:szCs w:val="24"/>
              </w:rPr>
              <w:t>付款方式</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符合供应商须知前附表的规定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1016" w:type="dxa"/>
            <w:vMerge w:val="restart"/>
            <w:vAlign w:val="center"/>
          </w:tcPr>
          <w:p>
            <w:pPr>
              <w:spacing w:line="276" w:lineRule="auto"/>
              <w:rPr>
                <w:rFonts w:ascii="宋体" w:hAnsi="宋体" w:eastAsia="宋体" w:cs="宋体"/>
                <w:sz w:val="24"/>
                <w:szCs w:val="24"/>
              </w:rPr>
            </w:pPr>
            <w:r>
              <w:rPr>
                <w:rFonts w:hint="eastAsia" w:ascii="宋体" w:hAnsi="宋体" w:eastAsia="宋体" w:cs="宋体"/>
                <w:sz w:val="24"/>
                <w:szCs w:val="24"/>
              </w:rPr>
              <w:t>3、分值构成（总分100分）</w:t>
            </w:r>
          </w:p>
        </w:tc>
        <w:tc>
          <w:tcPr>
            <w:tcW w:w="2297"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监理费用报价</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16" w:type="dxa"/>
            <w:vMerge w:val="continue"/>
            <w:vAlign w:val="center"/>
          </w:tcPr>
          <w:p>
            <w:pPr>
              <w:spacing w:line="276" w:lineRule="auto"/>
              <w:rPr>
                <w:rFonts w:ascii="宋体" w:hAnsi="宋体" w:eastAsia="宋体" w:cs="宋体"/>
                <w:sz w:val="24"/>
                <w:szCs w:val="24"/>
              </w:rPr>
            </w:pPr>
          </w:p>
        </w:tc>
        <w:tc>
          <w:tcPr>
            <w:tcW w:w="2297"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技术部分</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35分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016" w:type="dxa"/>
            <w:vMerge w:val="continue"/>
            <w:vAlign w:val="center"/>
          </w:tcPr>
          <w:p>
            <w:pPr>
              <w:spacing w:line="276" w:lineRule="auto"/>
              <w:rPr>
                <w:rFonts w:ascii="宋体" w:hAnsi="宋体" w:eastAsia="宋体" w:cs="宋体"/>
                <w:sz w:val="24"/>
                <w:szCs w:val="24"/>
              </w:rPr>
            </w:pPr>
          </w:p>
        </w:tc>
        <w:tc>
          <w:tcPr>
            <w:tcW w:w="2297"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商务部分</w:t>
            </w:r>
          </w:p>
        </w:tc>
        <w:tc>
          <w:tcPr>
            <w:tcW w:w="5105" w:type="dxa"/>
            <w:shd w:val="clear" w:color="auto" w:fill="auto"/>
            <w:noWrap/>
            <w:vAlign w:val="center"/>
          </w:tcPr>
          <w:p>
            <w:pPr>
              <w:spacing w:line="276" w:lineRule="auto"/>
              <w:rPr>
                <w:rFonts w:ascii="宋体" w:hAnsi="宋体" w:eastAsia="宋体" w:cs="宋体"/>
                <w:sz w:val="24"/>
                <w:szCs w:val="24"/>
              </w:rPr>
            </w:pPr>
            <w:r>
              <w:rPr>
                <w:rFonts w:hint="eastAsia" w:ascii="宋体" w:hAnsi="宋体" w:eastAsia="宋体" w:cs="宋体"/>
                <w:sz w:val="24"/>
                <w:szCs w:val="24"/>
              </w:rPr>
              <w:t>55分</w:t>
            </w:r>
          </w:p>
        </w:tc>
      </w:tr>
    </w:tbl>
    <w:p>
      <w:pPr>
        <w:widowControl/>
        <w:tabs>
          <w:tab w:val="left" w:pos="760"/>
        </w:tabs>
        <w:spacing w:line="360" w:lineRule="auto"/>
        <w:rPr>
          <w:rFonts w:ascii="宋体" w:hAnsi="宋体" w:eastAsia="宋体" w:cs="黑体"/>
          <w:b/>
          <w:bCs/>
          <w:sz w:val="28"/>
          <w:szCs w:val="28"/>
        </w:rPr>
      </w:pPr>
      <w:r>
        <w:rPr>
          <w:rFonts w:hint="eastAsia" w:ascii="宋体" w:hAnsi="宋体" w:eastAsia="宋体" w:cs="黑体"/>
          <w:b/>
          <w:bCs/>
          <w:sz w:val="28"/>
          <w:szCs w:val="28"/>
        </w:rPr>
        <w:t>1、</w:t>
      </w:r>
      <w:r>
        <w:rPr>
          <w:rFonts w:ascii="宋体" w:hAnsi="宋体" w:eastAsia="宋体" w:cs="黑体"/>
          <w:b/>
          <w:bCs/>
          <w:sz w:val="28"/>
          <w:szCs w:val="28"/>
        </w:rPr>
        <w:t>评审方法</w:t>
      </w:r>
    </w:p>
    <w:p>
      <w:pPr>
        <w:spacing w:line="360" w:lineRule="auto"/>
        <w:ind w:firstLine="480" w:firstLineChars="200"/>
        <w:rPr>
          <w:rFonts w:ascii="宋体" w:hAnsi="宋体" w:eastAsia="宋体"/>
          <w:sz w:val="24"/>
        </w:rPr>
      </w:pPr>
      <w:r>
        <w:rPr>
          <w:rFonts w:hint="eastAsia" w:ascii="宋体" w:hAnsi="宋体" w:eastAsia="宋体"/>
          <w:sz w:val="24"/>
        </w:rPr>
        <w:t>本次</w:t>
      </w:r>
      <w:r>
        <w:rPr>
          <w:rFonts w:ascii="宋体" w:hAnsi="宋体" w:eastAsia="宋体"/>
          <w:sz w:val="24"/>
        </w:rPr>
        <w:t>评审</w:t>
      </w:r>
      <w:r>
        <w:rPr>
          <w:rFonts w:hint="eastAsia" w:ascii="宋体" w:hAnsi="宋体" w:eastAsia="宋体"/>
          <w:sz w:val="24"/>
        </w:rPr>
        <w:t>方法</w:t>
      </w:r>
      <w:r>
        <w:rPr>
          <w:rFonts w:ascii="宋体" w:hAnsi="宋体" w:eastAsia="宋体"/>
          <w:sz w:val="24"/>
        </w:rPr>
        <w:t>采用</w:t>
      </w:r>
      <w:r>
        <w:rPr>
          <w:rFonts w:hint="eastAsia" w:ascii="宋体" w:hAnsi="宋体" w:eastAsia="宋体"/>
          <w:sz w:val="24"/>
        </w:rPr>
        <w:t>综合评分</w:t>
      </w:r>
      <w:r>
        <w:rPr>
          <w:rFonts w:ascii="宋体" w:hAnsi="宋体" w:eastAsia="宋体"/>
          <w:sz w:val="24"/>
        </w:rPr>
        <w:t>法。磋商小组对满足磋商文件实质性要求的响应文件，按照本章2.2 款规定的评分标准进行打分，按得分由高到低顺序推荐成交候选人，或根据采购人授权直接确定成交供应商，但</w:t>
      </w:r>
      <w:r>
        <w:rPr>
          <w:rFonts w:hint="eastAsia" w:ascii="宋体" w:hAnsi="宋体" w:eastAsia="宋体"/>
          <w:sz w:val="24"/>
        </w:rPr>
        <w:t>最后</w:t>
      </w:r>
      <w:r>
        <w:rPr>
          <w:rFonts w:ascii="宋体" w:hAnsi="宋体" w:eastAsia="宋体"/>
          <w:sz w:val="24"/>
        </w:rPr>
        <w:t>报价</w:t>
      </w:r>
      <w:r>
        <w:rPr>
          <w:rFonts w:hint="eastAsia" w:ascii="宋体" w:hAnsi="宋体" w:eastAsia="宋体"/>
          <w:sz w:val="24"/>
        </w:rPr>
        <w:t>明显低于其他通过符合性审查供应商的报价，有可能影响工程质量或者不能诚信履约的</w:t>
      </w:r>
      <w:r>
        <w:rPr>
          <w:rFonts w:ascii="宋体" w:hAnsi="宋体" w:eastAsia="宋体"/>
          <w:sz w:val="24"/>
        </w:rPr>
        <w:t>除外。</w:t>
      </w:r>
      <w:r>
        <w:rPr>
          <w:rFonts w:hint="eastAsia" w:ascii="宋体" w:hAnsi="宋体" w:eastAsia="宋体"/>
          <w:sz w:val="24"/>
        </w:rPr>
        <w:t>综合评分相等时，</w:t>
      </w:r>
      <w:r>
        <w:rPr>
          <w:rFonts w:hint="eastAsia" w:ascii="宋体" w:hAnsi="宋体" w:eastAsia="宋体"/>
          <w:sz w:val="24"/>
          <w:lang w:eastAsia="zh-CN"/>
        </w:rPr>
        <w:t>磋商小组</w:t>
      </w:r>
      <w:r>
        <w:rPr>
          <w:rFonts w:hint="eastAsia" w:ascii="宋体" w:hAnsi="宋体" w:eastAsia="宋体"/>
          <w:sz w:val="24"/>
        </w:rPr>
        <w:t>依次按照以下优先顺序推荐</w:t>
      </w:r>
      <w:r>
        <w:rPr>
          <w:rFonts w:hint="eastAsia" w:ascii="宋体" w:hAnsi="宋体" w:eastAsia="宋体"/>
          <w:sz w:val="24"/>
          <w:lang w:eastAsia="zh-CN"/>
        </w:rPr>
        <w:t>成交</w:t>
      </w:r>
      <w:r>
        <w:rPr>
          <w:rFonts w:hint="eastAsia" w:ascii="宋体" w:hAnsi="宋体" w:eastAsia="宋体"/>
          <w:sz w:val="24"/>
        </w:rPr>
        <w:t>候选人或确定</w:t>
      </w:r>
      <w:r>
        <w:rPr>
          <w:rFonts w:hint="eastAsia" w:ascii="宋体" w:hAnsi="宋体" w:eastAsia="宋体"/>
          <w:sz w:val="24"/>
          <w:lang w:eastAsia="zh-CN"/>
        </w:rPr>
        <w:t>成交</w:t>
      </w:r>
      <w:r>
        <w:rPr>
          <w:rFonts w:hint="eastAsia" w:ascii="宋体" w:hAnsi="宋体" w:eastAsia="宋体"/>
          <w:sz w:val="24"/>
        </w:rPr>
        <w:t>人：</w:t>
      </w:r>
    </w:p>
    <w:p>
      <w:pPr>
        <w:spacing w:line="360" w:lineRule="auto"/>
        <w:ind w:firstLine="480" w:firstLineChars="200"/>
        <w:rPr>
          <w:rFonts w:ascii="宋体" w:hAnsi="宋体" w:eastAsia="宋体"/>
          <w:sz w:val="24"/>
        </w:rPr>
      </w:pPr>
      <w:r>
        <w:rPr>
          <w:rFonts w:hint="eastAsia" w:ascii="宋体" w:hAnsi="宋体" w:eastAsia="宋体"/>
          <w:sz w:val="24"/>
        </w:rPr>
        <w:t>（1）</w:t>
      </w:r>
      <w:r>
        <w:rPr>
          <w:rFonts w:hint="eastAsia" w:ascii="宋体" w:hAnsi="宋体" w:eastAsia="宋体"/>
          <w:sz w:val="24"/>
          <w:lang w:eastAsia="zh-CN"/>
        </w:rPr>
        <w:t>磋商报价</w:t>
      </w:r>
      <w:r>
        <w:rPr>
          <w:rFonts w:hint="eastAsia" w:ascii="宋体" w:hAnsi="宋体" w:eastAsia="宋体"/>
          <w:sz w:val="24"/>
        </w:rPr>
        <w:t>低的投标人优先；</w:t>
      </w:r>
    </w:p>
    <w:p>
      <w:pPr>
        <w:spacing w:line="360" w:lineRule="auto"/>
        <w:ind w:firstLine="480" w:firstLineChars="200"/>
        <w:rPr>
          <w:rFonts w:ascii="宋体" w:hAnsi="宋体" w:eastAsia="宋体"/>
          <w:sz w:val="24"/>
        </w:rPr>
      </w:pPr>
      <w:r>
        <w:rPr>
          <w:rFonts w:hint="eastAsia" w:ascii="宋体" w:hAnsi="宋体" w:eastAsia="宋体"/>
          <w:sz w:val="24"/>
        </w:rPr>
        <w:t>（2）被交通运输部评为较高信用等级的投标人优先；(以交通运输部最近一次对投标人的信用评级为准）</w:t>
      </w:r>
    </w:p>
    <w:p>
      <w:pPr>
        <w:spacing w:line="360" w:lineRule="auto"/>
        <w:ind w:firstLine="480" w:firstLineChars="200"/>
        <w:rPr>
          <w:rFonts w:ascii="宋体" w:hAnsi="宋体" w:eastAsia="宋体"/>
          <w:sz w:val="24"/>
        </w:rPr>
      </w:pPr>
      <w:r>
        <w:rPr>
          <w:rFonts w:hint="eastAsia" w:ascii="宋体" w:hAnsi="宋体" w:eastAsia="宋体"/>
          <w:sz w:val="24"/>
        </w:rPr>
        <w:t>（3）商务和技术得分较高的投标人优先；</w:t>
      </w:r>
    </w:p>
    <w:p>
      <w:pPr>
        <w:spacing w:line="360" w:lineRule="auto"/>
        <w:ind w:firstLine="480" w:firstLineChars="200"/>
        <w:rPr>
          <w:rFonts w:ascii="宋体" w:hAnsi="宋体" w:eastAsia="宋体"/>
          <w:sz w:val="24"/>
        </w:rPr>
      </w:pPr>
      <w:r>
        <w:rPr>
          <w:rFonts w:hint="eastAsia" w:ascii="宋体" w:hAnsi="宋体" w:eastAsia="宋体"/>
          <w:sz w:val="24"/>
        </w:rPr>
        <w:t>（4）技术得分较高的投标人优先。</w:t>
      </w:r>
    </w:p>
    <w:p>
      <w:pPr>
        <w:widowControl/>
        <w:tabs>
          <w:tab w:val="left" w:pos="760"/>
        </w:tabs>
        <w:spacing w:line="360" w:lineRule="auto"/>
        <w:rPr>
          <w:rFonts w:ascii="宋体" w:hAnsi="宋体" w:eastAsia="宋体" w:cs="黑体"/>
          <w:b/>
          <w:bCs/>
          <w:sz w:val="28"/>
          <w:szCs w:val="28"/>
        </w:rPr>
      </w:pPr>
      <w:r>
        <w:rPr>
          <w:rFonts w:hint="eastAsia" w:ascii="宋体" w:hAnsi="宋体" w:eastAsia="宋体" w:cs="黑体"/>
          <w:b/>
          <w:bCs/>
          <w:sz w:val="28"/>
          <w:szCs w:val="28"/>
        </w:rPr>
        <w:t>2、</w:t>
      </w:r>
      <w:r>
        <w:rPr>
          <w:rFonts w:ascii="宋体" w:hAnsi="宋体" w:eastAsia="宋体" w:cs="黑体"/>
          <w:b/>
          <w:bCs/>
          <w:sz w:val="28"/>
          <w:szCs w:val="28"/>
        </w:rPr>
        <w:t>评审标准</w:t>
      </w:r>
    </w:p>
    <w:p>
      <w:pPr>
        <w:spacing w:line="360" w:lineRule="auto"/>
        <w:rPr>
          <w:rFonts w:ascii="宋体" w:hAnsi="宋体" w:eastAsia="宋体"/>
          <w:b/>
          <w:sz w:val="24"/>
        </w:rPr>
      </w:pPr>
      <w:r>
        <w:rPr>
          <w:rFonts w:ascii="宋体" w:hAnsi="宋体" w:eastAsia="宋体"/>
          <w:b/>
          <w:sz w:val="24"/>
        </w:rPr>
        <w:t xml:space="preserve">2.1 </w:t>
      </w:r>
      <w:r>
        <w:rPr>
          <w:rFonts w:hint="eastAsia" w:ascii="宋体" w:hAnsi="宋体" w:eastAsia="宋体"/>
          <w:b/>
          <w:sz w:val="24"/>
        </w:rPr>
        <w:t>资格审查与符合性审查标准</w:t>
      </w:r>
    </w:p>
    <w:p>
      <w:pPr>
        <w:spacing w:line="360" w:lineRule="auto"/>
        <w:ind w:firstLine="480" w:firstLineChars="200"/>
        <w:rPr>
          <w:rFonts w:ascii="宋体" w:hAnsi="宋体" w:eastAsia="宋体"/>
          <w:sz w:val="24"/>
        </w:rPr>
      </w:pPr>
      <w:r>
        <w:rPr>
          <w:rFonts w:ascii="宋体" w:hAnsi="宋体" w:eastAsia="宋体"/>
          <w:sz w:val="24"/>
        </w:rPr>
        <w:t xml:space="preserve">2.1.1 </w:t>
      </w:r>
      <w:r>
        <w:rPr>
          <w:rFonts w:hint="eastAsia" w:ascii="宋体" w:hAnsi="宋体" w:eastAsia="宋体"/>
          <w:sz w:val="24"/>
        </w:rPr>
        <w:t>资格审查</w:t>
      </w:r>
      <w:r>
        <w:rPr>
          <w:rFonts w:ascii="宋体" w:hAnsi="宋体" w:eastAsia="宋体"/>
          <w:sz w:val="24"/>
        </w:rPr>
        <w:t>标准：见</w:t>
      </w:r>
      <w:r>
        <w:rPr>
          <w:rFonts w:hint="eastAsia" w:ascii="宋体" w:hAnsi="宋体" w:eastAsia="宋体"/>
          <w:sz w:val="24"/>
        </w:rPr>
        <w:t>资格审查与评审办法前附表</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 xml:space="preserve">2.1.2 </w:t>
      </w:r>
      <w:r>
        <w:rPr>
          <w:rFonts w:hint="eastAsia" w:ascii="宋体" w:hAnsi="宋体" w:eastAsia="宋体"/>
          <w:sz w:val="24"/>
        </w:rPr>
        <w:t>符合性审查标准</w:t>
      </w:r>
      <w:r>
        <w:rPr>
          <w:rFonts w:ascii="宋体" w:hAnsi="宋体" w:eastAsia="宋体"/>
          <w:sz w:val="24"/>
        </w:rPr>
        <w:t>：见</w:t>
      </w:r>
      <w:r>
        <w:rPr>
          <w:rFonts w:hint="eastAsia" w:ascii="宋体" w:hAnsi="宋体" w:eastAsia="宋体"/>
          <w:sz w:val="24"/>
        </w:rPr>
        <w:t>资格审查与评审办法前附表</w:t>
      </w:r>
      <w:r>
        <w:rPr>
          <w:rFonts w:ascii="宋体" w:hAnsi="宋体" w:eastAsia="宋体"/>
          <w:sz w:val="24"/>
        </w:rPr>
        <w:t>。</w:t>
      </w:r>
    </w:p>
    <w:p>
      <w:pPr>
        <w:spacing w:line="360" w:lineRule="auto"/>
        <w:rPr>
          <w:rFonts w:ascii="宋体" w:hAnsi="宋体" w:eastAsia="宋体"/>
          <w:b/>
          <w:sz w:val="24"/>
        </w:rPr>
      </w:pPr>
      <w:r>
        <w:rPr>
          <w:rFonts w:ascii="宋体" w:hAnsi="宋体" w:eastAsia="宋体"/>
          <w:b/>
          <w:sz w:val="24"/>
        </w:rPr>
        <w:t>2.2 分值构成与评分标准</w:t>
      </w:r>
    </w:p>
    <w:p>
      <w:pPr>
        <w:spacing w:line="360" w:lineRule="auto"/>
        <w:ind w:firstLine="480" w:firstLineChars="200"/>
        <w:rPr>
          <w:rFonts w:ascii="宋体" w:hAnsi="宋体" w:eastAsia="宋体"/>
          <w:sz w:val="24"/>
        </w:rPr>
      </w:pPr>
      <w:r>
        <w:rPr>
          <w:rFonts w:ascii="宋体" w:hAnsi="宋体" w:eastAsia="宋体"/>
          <w:sz w:val="24"/>
        </w:rPr>
        <w:t>2.2.1 分值构成</w:t>
      </w:r>
      <w:r>
        <w:rPr>
          <w:rFonts w:hint="eastAsia" w:ascii="宋体" w:hAnsi="宋体" w:eastAsia="宋体"/>
          <w:sz w:val="24"/>
        </w:rPr>
        <w:t>见评审办法前附表</w:t>
      </w:r>
    </w:p>
    <w:p>
      <w:pPr>
        <w:spacing w:line="360" w:lineRule="auto"/>
        <w:ind w:firstLine="480" w:firstLineChars="200"/>
        <w:rPr>
          <w:rFonts w:ascii="宋体" w:hAnsi="宋体" w:eastAsia="宋体"/>
          <w:sz w:val="24"/>
        </w:rPr>
      </w:pPr>
      <w:r>
        <w:rPr>
          <w:rFonts w:ascii="宋体" w:hAnsi="宋体" w:eastAsia="宋体"/>
          <w:sz w:val="24"/>
        </w:rPr>
        <w:t>2.2.</w:t>
      </w:r>
      <w:r>
        <w:rPr>
          <w:rFonts w:hint="eastAsia" w:ascii="宋体" w:hAnsi="宋体" w:eastAsia="宋体"/>
          <w:sz w:val="24"/>
        </w:rPr>
        <w:t>2</w:t>
      </w:r>
      <w:r>
        <w:rPr>
          <w:rFonts w:ascii="宋体" w:hAnsi="宋体" w:eastAsia="宋体"/>
          <w:sz w:val="24"/>
        </w:rPr>
        <w:t xml:space="preserve"> 评分标准</w:t>
      </w:r>
      <w:r>
        <w:rPr>
          <w:rFonts w:hint="eastAsia" w:ascii="宋体" w:hAnsi="宋体" w:eastAsia="宋体"/>
          <w:sz w:val="24"/>
        </w:rPr>
        <w:t>附后</w:t>
      </w:r>
    </w:p>
    <w:p>
      <w:pPr>
        <w:widowControl/>
        <w:tabs>
          <w:tab w:val="left" w:pos="760"/>
        </w:tabs>
        <w:spacing w:line="360" w:lineRule="auto"/>
        <w:rPr>
          <w:rFonts w:ascii="宋体" w:hAnsi="宋体" w:eastAsia="宋体" w:cs="黑体"/>
          <w:b/>
          <w:bCs/>
          <w:sz w:val="28"/>
          <w:szCs w:val="28"/>
        </w:rPr>
      </w:pPr>
      <w:bookmarkStart w:id="229" w:name="page43"/>
      <w:bookmarkEnd w:id="229"/>
      <w:r>
        <w:rPr>
          <w:rFonts w:hint="eastAsia" w:ascii="宋体" w:hAnsi="宋体" w:eastAsia="宋体" w:cs="黑体"/>
          <w:b/>
          <w:bCs/>
          <w:sz w:val="28"/>
          <w:szCs w:val="28"/>
        </w:rPr>
        <w:t>3、</w:t>
      </w:r>
      <w:r>
        <w:rPr>
          <w:rFonts w:ascii="宋体" w:hAnsi="宋体" w:eastAsia="宋体" w:cs="黑体"/>
          <w:b/>
          <w:bCs/>
          <w:sz w:val="28"/>
          <w:szCs w:val="28"/>
        </w:rPr>
        <w:t>评审</w:t>
      </w:r>
      <w:r>
        <w:rPr>
          <w:rFonts w:hint="eastAsia" w:ascii="宋体" w:hAnsi="宋体" w:eastAsia="宋体" w:cs="黑体"/>
          <w:b/>
          <w:bCs/>
          <w:sz w:val="28"/>
          <w:szCs w:val="28"/>
        </w:rPr>
        <w:t>程序</w:t>
      </w:r>
    </w:p>
    <w:p>
      <w:pPr>
        <w:spacing w:line="360" w:lineRule="auto"/>
        <w:ind w:firstLine="480" w:firstLineChars="200"/>
        <w:rPr>
          <w:rFonts w:ascii="宋体" w:hAnsi="宋体" w:eastAsia="宋体"/>
          <w:sz w:val="24"/>
        </w:rPr>
      </w:pPr>
      <w:r>
        <w:rPr>
          <w:rFonts w:ascii="宋体" w:hAnsi="宋体" w:eastAsia="宋体"/>
          <w:sz w:val="24"/>
        </w:rPr>
        <w:t xml:space="preserve">3.1 </w:t>
      </w:r>
      <w:r>
        <w:rPr>
          <w:rFonts w:hint="eastAsia" w:ascii="宋体" w:hAnsi="宋体" w:eastAsia="宋体"/>
          <w:sz w:val="24"/>
        </w:rPr>
        <w:t>资格审查与符合性审查</w:t>
      </w:r>
    </w:p>
    <w:p>
      <w:pPr>
        <w:spacing w:line="360" w:lineRule="auto"/>
        <w:ind w:firstLine="480" w:firstLineChars="200"/>
        <w:rPr>
          <w:rFonts w:ascii="宋体" w:hAnsi="宋体" w:eastAsia="宋体"/>
          <w:sz w:val="24"/>
        </w:rPr>
      </w:pPr>
      <w:r>
        <w:rPr>
          <w:rFonts w:ascii="宋体" w:hAnsi="宋体" w:eastAsia="宋体"/>
          <w:sz w:val="24"/>
        </w:rPr>
        <w:t>3.1.1</w:t>
      </w:r>
      <w:r>
        <w:rPr>
          <w:rFonts w:hint="eastAsia" w:ascii="宋体" w:hAnsi="宋体" w:eastAsia="宋体"/>
          <w:sz w:val="24"/>
        </w:rPr>
        <w:t>磋商小组</w:t>
      </w:r>
      <w:r>
        <w:rPr>
          <w:rFonts w:ascii="宋体" w:hAnsi="宋体" w:eastAsia="宋体"/>
          <w:sz w:val="24"/>
        </w:rPr>
        <w:t>依据本章第2.1</w:t>
      </w:r>
      <w:r>
        <w:rPr>
          <w:rFonts w:hint="eastAsia" w:ascii="宋体" w:hAnsi="宋体" w:eastAsia="宋体"/>
          <w:sz w:val="24"/>
        </w:rPr>
        <w:t>.1</w:t>
      </w:r>
      <w:r>
        <w:rPr>
          <w:rFonts w:ascii="宋体" w:hAnsi="宋体" w:eastAsia="宋体"/>
          <w:sz w:val="24"/>
        </w:rPr>
        <w:t>款</w:t>
      </w:r>
      <w:r>
        <w:rPr>
          <w:rFonts w:hint="eastAsia" w:ascii="宋体" w:hAnsi="宋体" w:eastAsia="宋体"/>
          <w:sz w:val="24"/>
        </w:rPr>
        <w:t>和</w:t>
      </w:r>
      <w:r>
        <w:rPr>
          <w:rFonts w:ascii="宋体" w:hAnsi="宋体" w:eastAsia="宋体"/>
          <w:sz w:val="24"/>
        </w:rPr>
        <w:t>第 2.1</w:t>
      </w:r>
      <w:r>
        <w:rPr>
          <w:rFonts w:hint="eastAsia" w:ascii="宋体" w:hAnsi="宋体" w:eastAsia="宋体"/>
          <w:sz w:val="24"/>
        </w:rPr>
        <w:t>.2</w:t>
      </w:r>
      <w:r>
        <w:rPr>
          <w:rFonts w:ascii="宋体" w:hAnsi="宋体" w:eastAsia="宋体"/>
          <w:sz w:val="24"/>
        </w:rPr>
        <w:t>款规定的标准对响应文件进行</w:t>
      </w:r>
      <w:r>
        <w:rPr>
          <w:rFonts w:hint="eastAsia" w:ascii="宋体" w:hAnsi="宋体" w:eastAsia="宋体"/>
          <w:sz w:val="24"/>
        </w:rPr>
        <w:t>审查</w:t>
      </w:r>
      <w:r>
        <w:rPr>
          <w:rFonts w:ascii="宋体" w:hAnsi="宋体" w:eastAsia="宋体"/>
          <w:sz w:val="24"/>
        </w:rPr>
        <w:t>。有一项不符合</w:t>
      </w:r>
      <w:r>
        <w:rPr>
          <w:rFonts w:hint="eastAsia" w:ascii="宋体" w:hAnsi="宋体" w:eastAsia="宋体"/>
          <w:sz w:val="24"/>
        </w:rPr>
        <w:t>审查</w:t>
      </w:r>
      <w:r>
        <w:rPr>
          <w:rFonts w:ascii="宋体" w:hAnsi="宋体" w:eastAsia="宋体"/>
          <w:sz w:val="24"/>
        </w:rPr>
        <w:t>标准的，应当否决其</w:t>
      </w:r>
      <w:r>
        <w:rPr>
          <w:rFonts w:hint="eastAsia" w:ascii="宋体" w:hAnsi="宋体" w:eastAsia="宋体"/>
          <w:sz w:val="24"/>
        </w:rPr>
        <w:t>响应文件</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3.1.2 供应商有以下情形之一的，磋商小组应当否决其</w:t>
      </w:r>
      <w:r>
        <w:rPr>
          <w:rFonts w:hint="eastAsia" w:ascii="宋体" w:hAnsi="宋体" w:eastAsia="宋体"/>
          <w:sz w:val="24"/>
        </w:rPr>
        <w:t>响应文件</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（1）响应文件没有对磋商文件的实质性要求和条件作出响应，或者对磋商文件的偏</w:t>
      </w:r>
      <w:r>
        <w:rPr>
          <w:rFonts w:hint="eastAsia" w:ascii="宋体" w:hAnsi="宋体" w:eastAsia="宋体"/>
          <w:sz w:val="24"/>
        </w:rPr>
        <w:t>离</w:t>
      </w:r>
      <w:r>
        <w:rPr>
          <w:rFonts w:ascii="宋体" w:hAnsi="宋体" w:eastAsia="宋体"/>
          <w:sz w:val="24"/>
        </w:rPr>
        <w:t>超出磋商文件规定的偏</w:t>
      </w:r>
      <w:r>
        <w:rPr>
          <w:rFonts w:hint="eastAsia" w:ascii="宋体" w:hAnsi="宋体" w:eastAsia="宋体"/>
          <w:sz w:val="24"/>
        </w:rPr>
        <w:t>离</w:t>
      </w:r>
      <w:r>
        <w:rPr>
          <w:rFonts w:ascii="宋体" w:hAnsi="宋体" w:eastAsia="宋体"/>
          <w:sz w:val="24"/>
        </w:rPr>
        <w:t>范围</w:t>
      </w:r>
      <w:r>
        <w:rPr>
          <w:rFonts w:hint="eastAsia" w:ascii="宋体" w:hAnsi="宋体" w:eastAsia="宋体"/>
          <w:sz w:val="24"/>
        </w:rPr>
        <w:t>和幅度的</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（2）有串通、弄虚作假、行贿等违法行为。</w:t>
      </w:r>
    </w:p>
    <w:p>
      <w:pPr>
        <w:spacing w:line="360" w:lineRule="auto"/>
        <w:ind w:firstLine="480" w:firstLineChars="200"/>
        <w:rPr>
          <w:rFonts w:ascii="宋体" w:hAnsi="宋体" w:eastAsia="宋体"/>
          <w:sz w:val="24"/>
        </w:rPr>
      </w:pPr>
      <w:r>
        <w:rPr>
          <w:rFonts w:hint="eastAsia" w:ascii="宋体" w:hAnsi="宋体" w:eastAsia="宋体"/>
          <w:sz w:val="24"/>
        </w:rPr>
        <w:t>3.1.3有下列情形之一的，视为供应商串通，其响应文件无效：</w:t>
      </w:r>
    </w:p>
    <w:p>
      <w:pPr>
        <w:spacing w:line="360" w:lineRule="auto"/>
        <w:ind w:firstLine="480" w:firstLineChars="200"/>
        <w:rPr>
          <w:rFonts w:ascii="宋体" w:hAnsi="宋体" w:eastAsia="宋体"/>
          <w:sz w:val="24"/>
        </w:rPr>
      </w:pPr>
      <w:r>
        <w:rPr>
          <w:rFonts w:hint="eastAsia" w:ascii="宋体" w:hAnsi="宋体" w:eastAsia="宋体"/>
          <w:sz w:val="24"/>
        </w:rPr>
        <w:t>（1）不同供应商的响应文件由同一单位或者个人编制；</w:t>
      </w:r>
    </w:p>
    <w:p>
      <w:pPr>
        <w:spacing w:line="360" w:lineRule="auto"/>
        <w:ind w:firstLine="480" w:firstLineChars="200"/>
        <w:rPr>
          <w:rFonts w:ascii="宋体" w:hAnsi="宋体" w:eastAsia="宋体"/>
          <w:sz w:val="24"/>
        </w:rPr>
      </w:pPr>
      <w:r>
        <w:rPr>
          <w:rFonts w:hint="eastAsia" w:ascii="宋体" w:hAnsi="宋体" w:eastAsia="宋体"/>
          <w:sz w:val="24"/>
        </w:rPr>
        <w:t>（2）不同供应商委托同一单位或者个人办理磋商事宜；</w:t>
      </w:r>
    </w:p>
    <w:p>
      <w:pPr>
        <w:spacing w:line="360" w:lineRule="auto"/>
        <w:ind w:firstLine="480" w:firstLineChars="200"/>
        <w:rPr>
          <w:rFonts w:ascii="宋体" w:hAnsi="宋体" w:eastAsia="宋体"/>
          <w:sz w:val="24"/>
        </w:rPr>
      </w:pPr>
      <w:r>
        <w:rPr>
          <w:rFonts w:hint="eastAsia" w:ascii="宋体" w:hAnsi="宋体" w:eastAsia="宋体"/>
          <w:sz w:val="24"/>
        </w:rPr>
        <w:t>（3）不同供应商的响应文件载明的项目管理成员或者联系人员为同一人；</w:t>
      </w:r>
    </w:p>
    <w:p>
      <w:pPr>
        <w:spacing w:line="360" w:lineRule="auto"/>
        <w:ind w:firstLine="480" w:firstLineChars="200"/>
        <w:rPr>
          <w:rFonts w:ascii="宋体" w:hAnsi="宋体" w:eastAsia="宋体"/>
          <w:sz w:val="24"/>
        </w:rPr>
      </w:pPr>
      <w:r>
        <w:rPr>
          <w:rFonts w:hint="eastAsia" w:ascii="宋体" w:hAnsi="宋体" w:eastAsia="宋体"/>
          <w:sz w:val="24"/>
        </w:rPr>
        <w:t>（4）不同供应商的响应文件异常一致或者报价呈规律性差异；</w:t>
      </w:r>
    </w:p>
    <w:p>
      <w:pPr>
        <w:spacing w:line="360" w:lineRule="auto"/>
        <w:ind w:firstLine="480" w:firstLineChars="200"/>
        <w:rPr>
          <w:rFonts w:ascii="宋体" w:hAnsi="宋体" w:eastAsia="宋体"/>
          <w:sz w:val="24"/>
        </w:rPr>
      </w:pPr>
      <w:r>
        <w:rPr>
          <w:rFonts w:hint="eastAsia" w:ascii="宋体" w:hAnsi="宋体" w:eastAsia="宋体"/>
          <w:sz w:val="24"/>
        </w:rPr>
        <w:t>（5）不同供应商的响应文件相互混装；</w:t>
      </w:r>
    </w:p>
    <w:p>
      <w:pPr>
        <w:spacing w:line="360" w:lineRule="auto"/>
        <w:ind w:firstLine="480" w:firstLineChars="200"/>
        <w:rPr>
          <w:rFonts w:ascii="宋体" w:hAnsi="宋体" w:eastAsia="宋体"/>
          <w:sz w:val="24"/>
        </w:rPr>
      </w:pPr>
      <w:r>
        <w:rPr>
          <w:rFonts w:hint="eastAsia" w:ascii="宋体" w:hAnsi="宋体" w:eastAsia="宋体"/>
          <w:sz w:val="24"/>
        </w:rPr>
        <w:t>（6）不同供应商的磋商保证金从同一单位或者个人的账户转出。</w:t>
      </w:r>
    </w:p>
    <w:p>
      <w:pPr>
        <w:spacing w:line="360" w:lineRule="auto"/>
        <w:rPr>
          <w:rFonts w:ascii="宋体" w:hAnsi="宋体" w:eastAsia="宋体"/>
          <w:b/>
          <w:sz w:val="24"/>
        </w:rPr>
      </w:pPr>
      <w:r>
        <w:rPr>
          <w:rFonts w:ascii="宋体" w:hAnsi="宋体" w:eastAsia="宋体"/>
          <w:b/>
          <w:sz w:val="24"/>
        </w:rPr>
        <w:t>3.2 详细评审</w:t>
      </w:r>
    </w:p>
    <w:p>
      <w:pPr>
        <w:spacing w:line="360" w:lineRule="auto"/>
        <w:ind w:firstLine="480" w:firstLineChars="200"/>
        <w:rPr>
          <w:rFonts w:ascii="宋体" w:hAnsi="宋体" w:eastAsia="宋体"/>
          <w:sz w:val="24"/>
        </w:rPr>
      </w:pPr>
      <w:r>
        <w:rPr>
          <w:rFonts w:ascii="宋体" w:hAnsi="宋体" w:eastAsia="宋体"/>
          <w:sz w:val="24"/>
        </w:rPr>
        <w:t>3.2.1磋商小组按本章第 2.2 款规定的量化因素和分值进行打分，</w:t>
      </w:r>
      <w:r>
        <w:rPr>
          <w:rFonts w:hint="eastAsia" w:ascii="宋体" w:hAnsi="宋体" w:eastAsia="宋体"/>
          <w:sz w:val="24"/>
        </w:rPr>
        <w:t>取所有评委打分分数的算术平均值作为该供应商的各项得分</w:t>
      </w:r>
      <w:r>
        <w:rPr>
          <w:rFonts w:ascii="宋体" w:hAnsi="宋体" w:eastAsia="宋体"/>
          <w:sz w:val="24"/>
        </w:rPr>
        <w:t>。</w:t>
      </w:r>
    </w:p>
    <w:p>
      <w:pPr>
        <w:spacing w:line="360" w:lineRule="auto"/>
        <w:ind w:firstLine="480" w:firstLineChars="200"/>
        <w:rPr>
          <w:rFonts w:ascii="宋体" w:hAnsi="宋体" w:eastAsia="宋体"/>
          <w:sz w:val="24"/>
        </w:rPr>
      </w:pPr>
      <w:r>
        <w:rPr>
          <w:rFonts w:ascii="宋体" w:hAnsi="宋体" w:eastAsia="宋体"/>
          <w:sz w:val="24"/>
        </w:rPr>
        <w:t>3.2.2 评分分值计算保留小数点后两位，小数点后第三位“四舍五入”。</w:t>
      </w:r>
    </w:p>
    <w:p>
      <w:pPr>
        <w:spacing w:line="360" w:lineRule="auto"/>
        <w:ind w:firstLine="480" w:firstLineChars="200"/>
        <w:rPr>
          <w:rFonts w:ascii="宋体" w:hAnsi="宋体" w:eastAsia="宋体"/>
          <w:sz w:val="24"/>
        </w:rPr>
      </w:pPr>
      <w:r>
        <w:rPr>
          <w:rFonts w:hint="eastAsia" w:ascii="宋体" w:hAnsi="宋体" w:eastAsia="宋体"/>
          <w:sz w:val="24"/>
        </w:rPr>
        <w:t>3.2.3磋商小组汇总供应商的各项得分，相加后为供应商最终得分。</w:t>
      </w:r>
    </w:p>
    <w:p>
      <w:pPr>
        <w:spacing w:line="360" w:lineRule="auto"/>
        <w:ind w:firstLine="480" w:firstLineChars="200"/>
        <w:rPr>
          <w:rFonts w:ascii="宋体" w:hAnsi="宋体" w:eastAsia="宋体"/>
          <w:sz w:val="24"/>
        </w:rPr>
      </w:pPr>
      <w:r>
        <w:rPr>
          <w:rFonts w:ascii="宋体" w:hAnsi="宋体" w:eastAsia="宋体"/>
          <w:sz w:val="24"/>
        </w:rPr>
        <w:t>3.2.</w:t>
      </w:r>
      <w:r>
        <w:rPr>
          <w:rFonts w:hint="eastAsia" w:ascii="宋体" w:hAnsi="宋体" w:eastAsia="宋体"/>
          <w:sz w:val="24"/>
        </w:rPr>
        <w:t>4若磋商小组认为供应商的报价明显低于其他通过符合性审查供应商的报价，有可能影响工程质量或者不能诚信履约的，应当要求其在评审现场合理的时间内提供书面说明，必要时提交相关证明材料；供应商不能证明其报价合理性的，磋商小组应当将其作为无效响应文件处理。</w:t>
      </w:r>
    </w:p>
    <w:p>
      <w:pPr>
        <w:spacing w:line="360" w:lineRule="auto"/>
        <w:rPr>
          <w:rFonts w:ascii="宋体" w:hAnsi="宋体" w:eastAsia="宋体"/>
          <w:b/>
          <w:sz w:val="24"/>
        </w:rPr>
      </w:pPr>
      <w:bookmarkStart w:id="230" w:name="page44"/>
      <w:bookmarkEnd w:id="230"/>
      <w:r>
        <w:rPr>
          <w:rFonts w:ascii="宋体" w:hAnsi="宋体" w:eastAsia="宋体"/>
          <w:b/>
          <w:sz w:val="24"/>
        </w:rPr>
        <w:t>3.3 响应文件的澄清</w:t>
      </w:r>
    </w:p>
    <w:p>
      <w:pPr>
        <w:spacing w:line="360" w:lineRule="auto"/>
        <w:ind w:firstLine="480" w:firstLineChars="200"/>
        <w:rPr>
          <w:rFonts w:ascii="宋体" w:hAnsi="宋体" w:eastAsia="宋体"/>
          <w:sz w:val="24"/>
        </w:rPr>
      </w:pPr>
      <w:r>
        <w:rPr>
          <w:rFonts w:ascii="宋体" w:hAnsi="宋体" w:eastAsia="宋体"/>
          <w:sz w:val="24"/>
        </w:rPr>
        <w:t>3.3.1 在评审过程中，磋商小组可以书面形式要求供应商对响应文件中含义不明确、对同类问题表述不一致或者有明显文字和计算错误的内容作必要的澄清、说明或补正。澄清、说明或补正应以书面方式进行。磋商小组不接受供应商主动提出的澄清、说明或补正。</w:t>
      </w:r>
    </w:p>
    <w:p>
      <w:pPr>
        <w:spacing w:line="360" w:lineRule="auto"/>
        <w:ind w:firstLine="480" w:firstLineChars="200"/>
        <w:rPr>
          <w:rFonts w:ascii="宋体" w:hAnsi="宋体" w:eastAsia="宋体"/>
          <w:sz w:val="24"/>
        </w:rPr>
      </w:pPr>
      <w:r>
        <w:rPr>
          <w:rFonts w:ascii="宋体" w:hAnsi="宋体" w:eastAsia="宋体"/>
          <w:sz w:val="24"/>
        </w:rPr>
        <w:t>3.3.2 澄清、说明或补正不得超出响应文件的范围且不得改变响应文件的实质性内容，并构成响应文件的组成部分。</w:t>
      </w:r>
    </w:p>
    <w:p>
      <w:pPr>
        <w:spacing w:line="360" w:lineRule="auto"/>
        <w:ind w:firstLine="480" w:firstLineChars="200"/>
        <w:rPr>
          <w:rFonts w:ascii="宋体" w:hAnsi="宋体" w:eastAsia="宋体"/>
          <w:sz w:val="24"/>
        </w:rPr>
      </w:pPr>
      <w:r>
        <w:rPr>
          <w:rFonts w:ascii="宋体" w:hAnsi="宋体" w:eastAsia="宋体"/>
          <w:sz w:val="24"/>
        </w:rPr>
        <w:t>3.3.3 磋商小组对供应商提交的澄清、说明或补正有疑问的，可以要求供应商进一步澄清、说明或补正，直至满足磋商小组的要求。</w:t>
      </w:r>
    </w:p>
    <w:p>
      <w:pPr>
        <w:spacing w:line="360" w:lineRule="auto"/>
        <w:rPr>
          <w:rFonts w:ascii="宋体" w:hAnsi="宋体" w:eastAsia="宋体"/>
          <w:b/>
          <w:sz w:val="24"/>
        </w:rPr>
      </w:pPr>
      <w:r>
        <w:rPr>
          <w:rFonts w:ascii="宋体" w:hAnsi="宋体" w:eastAsia="宋体"/>
          <w:b/>
          <w:sz w:val="24"/>
        </w:rPr>
        <w:t>3.4 评审结果</w:t>
      </w:r>
    </w:p>
    <w:p>
      <w:pPr>
        <w:spacing w:line="360" w:lineRule="auto"/>
        <w:ind w:firstLine="480" w:firstLineChars="200"/>
        <w:rPr>
          <w:rFonts w:ascii="宋体" w:hAnsi="宋体" w:eastAsia="宋体"/>
          <w:sz w:val="24"/>
        </w:rPr>
      </w:pPr>
      <w:r>
        <w:rPr>
          <w:rFonts w:hint="eastAsia" w:ascii="宋体" w:hAnsi="宋体" w:eastAsia="宋体"/>
          <w:sz w:val="24"/>
        </w:rPr>
        <w:t>3.4.1磋商小组严格按照磋商文件的要求和条件进行评审和打分，评审结果按评审后得分由高到低的顺序排列。得分相同的，按最后报价由低到高顺序排列。得分且最后报价相同的并列。</w:t>
      </w:r>
    </w:p>
    <w:p>
      <w:pPr>
        <w:spacing w:line="360" w:lineRule="auto"/>
        <w:ind w:firstLine="480" w:firstLineChars="200"/>
        <w:rPr>
          <w:rFonts w:ascii="宋体" w:hAnsi="宋体" w:eastAsia="宋体"/>
          <w:sz w:val="24"/>
        </w:rPr>
      </w:pPr>
      <w:r>
        <w:rPr>
          <w:rFonts w:hint="eastAsia" w:ascii="宋体" w:hAnsi="宋体" w:eastAsia="宋体"/>
          <w:sz w:val="24"/>
        </w:rPr>
        <w:t>3.4.2</w:t>
      </w:r>
      <w:r>
        <w:rPr>
          <w:rFonts w:ascii="宋体" w:hAnsi="宋体" w:eastAsia="宋体"/>
          <w:sz w:val="24"/>
        </w:rPr>
        <w:t>磋商小组完成评审后，应当向</w:t>
      </w:r>
      <w:r>
        <w:rPr>
          <w:rFonts w:hint="eastAsia" w:ascii="宋体" w:hAnsi="宋体" w:eastAsia="宋体"/>
          <w:sz w:val="24"/>
        </w:rPr>
        <w:t>采购人</w:t>
      </w:r>
      <w:r>
        <w:rPr>
          <w:rFonts w:ascii="宋体" w:hAnsi="宋体" w:eastAsia="宋体"/>
          <w:sz w:val="24"/>
        </w:rPr>
        <w:t>提交书面评审报告和成交候选人名单</w:t>
      </w:r>
      <w:r>
        <w:rPr>
          <w:rFonts w:hint="eastAsia" w:ascii="宋体" w:hAnsi="宋体" w:eastAsia="宋体"/>
          <w:sz w:val="24"/>
        </w:rPr>
        <w:t>。</w:t>
      </w:r>
    </w:p>
    <w:p>
      <w:pPr>
        <w:widowControl/>
        <w:tabs>
          <w:tab w:val="left" w:pos="760"/>
        </w:tabs>
        <w:spacing w:line="360" w:lineRule="auto"/>
        <w:rPr>
          <w:rFonts w:ascii="宋体" w:hAnsi="宋体" w:eastAsia="宋体" w:cs="黑体"/>
          <w:b/>
          <w:bCs/>
          <w:sz w:val="28"/>
          <w:szCs w:val="28"/>
        </w:rPr>
      </w:pPr>
      <w:r>
        <w:rPr>
          <w:rFonts w:hint="eastAsia" w:ascii="宋体" w:hAnsi="宋体" w:eastAsia="宋体" w:cs="黑体"/>
          <w:b/>
          <w:bCs/>
          <w:sz w:val="28"/>
          <w:szCs w:val="28"/>
        </w:rPr>
        <w:t>4、评分标准：</w:t>
      </w:r>
    </w:p>
    <w:p>
      <w:pPr>
        <w:spacing w:line="360" w:lineRule="auto"/>
        <w:rPr>
          <w:rFonts w:ascii="宋体" w:hAnsi="宋体" w:eastAsia="宋体"/>
          <w:b/>
          <w:sz w:val="24"/>
        </w:rPr>
      </w:pPr>
      <w:r>
        <w:rPr>
          <w:rFonts w:hint="eastAsia" w:ascii="宋体" w:hAnsi="宋体" w:eastAsia="宋体"/>
          <w:b/>
          <w:sz w:val="24"/>
        </w:rPr>
        <w:t>4.1报价（10分）</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供应商为中小企业的，对所报的小型和微型企业产品的价格给予6%的扣除，用扣除后的价格参与评审。参加采购活动的中小企业，应当按照《政府采购促进中小企业发展管理办法》（财库﹝2020﹞46 号）的规定提供《中小企业声明函》（中小企业划型标准详见《关于印发中小企业划型标准规定的通知》工信部联企业〔2011〕300号）。 供应商为大型企业的不适用本款规定。供应商为联合体的，联合体各方均应为中小企业，否则不适用本款规定。</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财政部司法部《关于政府采购支持监狱企业发展有关问题的通知》（财库〔2014〕68号）规定，本项目在评审中对监狱企业作为供应商所提供的本企业生产的产品的价格给予6%的扣除。监狱企业参加政府采购活动时，应当提供由省级以上监狱管理局、戒毒管理局(含新疆生产建设兵团)出具的属于监狱企业的证明文件。</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根据财政部民政部中国残疾人联合会《关于促进残疾人就业政府采购政策的通知》（财库〔2017〕141号）规定，本项目在评审中对残疾人福利性单位提供本单位制造的货物、承担的工程或者服务，或者提供其他残疾人福利性单位制造的货物（不包括使用非残疾人福利性单位注册商标的货物）的价格给予6%的扣除。残疾人福利性单位参加政府采购活动时，应当提供《残疾人福利性单位声明函》。</w:t>
      </w:r>
    </w:p>
    <w:p>
      <w:pPr>
        <w:spacing w:line="360" w:lineRule="auto"/>
        <w:ind w:firstLine="480" w:firstLineChars="200"/>
        <w:rPr>
          <w:rFonts w:hint="eastAsia" w:ascii="宋体" w:hAnsi="宋体" w:eastAsia="宋体" w:cs="宋体"/>
          <w:sz w:val="24"/>
          <w:lang w:val="zh-CN" w:eastAsia="zh-CN"/>
        </w:rPr>
      </w:pPr>
      <w:r>
        <w:rPr>
          <w:rFonts w:hint="eastAsia" w:ascii="宋体" w:hAnsi="宋体" w:eastAsia="宋体" w:cs="宋体"/>
          <w:sz w:val="24"/>
          <w:lang w:val="zh-CN" w:eastAsia="zh-CN"/>
        </w:rPr>
        <w:t>同一供应商（包括联合体），中小微企业产品、监狱企业产品、残疾人福利性单位产品价格扣除优惠只享受一次，不得重复享受。</w:t>
      </w:r>
      <w:r>
        <w:rPr>
          <w:rFonts w:hint="eastAsia" w:ascii="宋体" w:hAnsi="宋体" w:eastAsia="宋体" w:cs="宋体"/>
          <w:b/>
          <w:bCs/>
          <w:sz w:val="24"/>
          <w:lang w:val="zh-CN" w:eastAsia="zh-CN"/>
        </w:rPr>
        <w:t>如本项目专门面向中小企业或小微企业采购的，评审中价格将均不予扣除。</w:t>
      </w:r>
    </w:p>
    <w:p>
      <w:pPr>
        <w:spacing w:line="360" w:lineRule="auto"/>
        <w:ind w:firstLine="480" w:firstLineChars="200"/>
        <w:rPr>
          <w:rFonts w:ascii="宋体" w:hAnsi="宋体" w:eastAsia="宋体" w:cs="宋体"/>
          <w:sz w:val="24"/>
        </w:rPr>
      </w:pPr>
      <w:r>
        <w:rPr>
          <w:rFonts w:hint="eastAsia" w:ascii="宋体" w:hAnsi="宋体" w:eastAsia="宋体" w:cs="宋体"/>
          <w:sz w:val="24"/>
        </w:rPr>
        <w:t>4.1.2磋商报价得分</w:t>
      </w:r>
    </w:p>
    <w:p>
      <w:pPr>
        <w:spacing w:line="360" w:lineRule="auto"/>
        <w:ind w:firstLine="480" w:firstLineChars="200"/>
        <w:rPr>
          <w:rFonts w:ascii="宋体" w:hAnsi="宋体" w:eastAsia="宋体" w:cs="宋体"/>
          <w:sz w:val="24"/>
        </w:rPr>
      </w:pPr>
      <w:r>
        <w:rPr>
          <w:rFonts w:hint="eastAsia" w:ascii="宋体" w:hAnsi="宋体" w:eastAsia="宋体" w:cs="宋体"/>
          <w:sz w:val="24"/>
        </w:rPr>
        <w:t>以有效投标单位所报价的算术平均值为评标基准价。当有效投标单位多于</w:t>
      </w:r>
      <w:r>
        <w:rPr>
          <w:rFonts w:ascii="宋体" w:hAnsi="宋体" w:eastAsia="宋体" w:cs="宋体"/>
          <w:sz w:val="24"/>
        </w:rPr>
        <w:t>5</w:t>
      </w:r>
      <w:r>
        <w:rPr>
          <w:rFonts w:hint="eastAsia" w:ascii="宋体" w:hAnsi="宋体" w:eastAsia="宋体" w:cs="宋体"/>
          <w:sz w:val="24"/>
        </w:rPr>
        <w:t>家时（不含</w:t>
      </w:r>
      <w:r>
        <w:rPr>
          <w:rFonts w:ascii="宋体" w:hAnsi="宋体" w:eastAsia="宋体" w:cs="宋体"/>
          <w:sz w:val="24"/>
        </w:rPr>
        <w:t>5</w:t>
      </w:r>
      <w:r>
        <w:rPr>
          <w:rFonts w:hint="eastAsia" w:ascii="宋体" w:hAnsi="宋体" w:eastAsia="宋体" w:cs="宋体"/>
          <w:sz w:val="24"/>
        </w:rPr>
        <w:t>家），以有效投标单位所报价，去掉一个最高和一个最低报价后的算术平均值。</w:t>
      </w:r>
    </w:p>
    <w:p>
      <w:pPr>
        <w:spacing w:line="360" w:lineRule="auto"/>
        <w:ind w:firstLine="480" w:firstLineChars="200"/>
        <w:rPr>
          <w:rFonts w:ascii="宋体" w:hAnsi="宋体" w:eastAsia="宋体" w:cs="宋体"/>
          <w:sz w:val="24"/>
        </w:rPr>
      </w:pPr>
      <w:r>
        <w:rPr>
          <w:rFonts w:hint="eastAsia" w:ascii="宋体" w:hAnsi="宋体" w:eastAsia="宋体" w:cs="宋体"/>
          <w:sz w:val="24"/>
        </w:rPr>
        <w:t>有效投标单位所报价与评标基准价相比，等于评标基准价的得</w:t>
      </w:r>
      <w:r>
        <w:rPr>
          <w:rFonts w:ascii="宋体" w:hAnsi="宋体" w:eastAsia="宋体" w:cs="宋体"/>
          <w:sz w:val="24"/>
        </w:rPr>
        <w:t>10</w:t>
      </w:r>
      <w:r>
        <w:rPr>
          <w:rFonts w:hint="eastAsia" w:ascii="宋体" w:hAnsi="宋体" w:eastAsia="宋体" w:cs="宋体"/>
          <w:sz w:val="24"/>
        </w:rPr>
        <w:t>分；有效投标人的</w:t>
      </w:r>
      <w:r>
        <w:rPr>
          <w:rFonts w:hint="eastAsia" w:ascii="宋体" w:hAnsi="宋体" w:eastAsia="宋体" w:cs="宋体"/>
          <w:sz w:val="24"/>
          <w:lang w:eastAsia="zh-CN"/>
        </w:rPr>
        <w:t>磋商报价</w:t>
      </w:r>
      <w:r>
        <w:rPr>
          <w:rFonts w:hint="eastAsia" w:ascii="宋体" w:hAnsi="宋体" w:eastAsia="宋体" w:cs="宋体"/>
          <w:sz w:val="24"/>
        </w:rPr>
        <w:t>每高于评标基准价</w:t>
      </w:r>
      <w:r>
        <w:rPr>
          <w:rFonts w:ascii="宋体" w:hAnsi="宋体" w:eastAsia="宋体" w:cs="宋体"/>
          <w:sz w:val="24"/>
        </w:rPr>
        <w:t>1%</w:t>
      </w:r>
      <w:r>
        <w:rPr>
          <w:rFonts w:hint="eastAsia" w:ascii="宋体" w:hAnsi="宋体" w:eastAsia="宋体" w:cs="宋体"/>
          <w:sz w:val="24"/>
        </w:rPr>
        <w:t>的，在</w:t>
      </w:r>
      <w:r>
        <w:rPr>
          <w:rFonts w:ascii="宋体" w:hAnsi="宋体" w:eastAsia="宋体" w:cs="宋体"/>
          <w:sz w:val="24"/>
        </w:rPr>
        <w:t>10</w:t>
      </w:r>
      <w:r>
        <w:rPr>
          <w:rFonts w:hint="eastAsia" w:ascii="宋体" w:hAnsi="宋体" w:eastAsia="宋体" w:cs="宋体"/>
          <w:sz w:val="24"/>
        </w:rPr>
        <w:t>分基础上扣</w:t>
      </w:r>
      <w:r>
        <w:rPr>
          <w:rFonts w:ascii="宋体" w:hAnsi="宋体" w:eastAsia="宋体" w:cs="宋体"/>
          <w:sz w:val="24"/>
        </w:rPr>
        <w:t>2</w:t>
      </w:r>
      <w:r>
        <w:rPr>
          <w:rFonts w:hint="eastAsia" w:ascii="宋体" w:hAnsi="宋体" w:eastAsia="宋体" w:cs="宋体"/>
          <w:sz w:val="24"/>
        </w:rPr>
        <w:t>分；有效投标人的</w:t>
      </w:r>
      <w:r>
        <w:rPr>
          <w:rFonts w:hint="eastAsia" w:ascii="宋体" w:hAnsi="宋体" w:eastAsia="宋体" w:cs="宋体"/>
          <w:sz w:val="24"/>
          <w:lang w:eastAsia="zh-CN"/>
        </w:rPr>
        <w:t>磋商报价</w:t>
      </w:r>
      <w:r>
        <w:rPr>
          <w:rFonts w:hint="eastAsia" w:ascii="宋体" w:hAnsi="宋体" w:eastAsia="宋体" w:cs="宋体"/>
          <w:sz w:val="24"/>
        </w:rPr>
        <w:t>每低于评标基准价</w:t>
      </w:r>
      <w:r>
        <w:rPr>
          <w:rFonts w:ascii="宋体" w:hAnsi="宋体" w:eastAsia="宋体" w:cs="宋体"/>
          <w:sz w:val="24"/>
        </w:rPr>
        <w:t>1%</w:t>
      </w:r>
      <w:r>
        <w:rPr>
          <w:rFonts w:hint="eastAsia" w:ascii="宋体" w:hAnsi="宋体" w:eastAsia="宋体" w:cs="宋体"/>
          <w:sz w:val="24"/>
        </w:rPr>
        <w:t>的，在</w:t>
      </w:r>
      <w:r>
        <w:rPr>
          <w:rFonts w:ascii="宋体" w:hAnsi="宋体" w:eastAsia="宋体" w:cs="宋体"/>
          <w:sz w:val="24"/>
        </w:rPr>
        <w:t>10</w:t>
      </w:r>
      <w:r>
        <w:rPr>
          <w:rFonts w:hint="eastAsia" w:ascii="宋体" w:hAnsi="宋体" w:eastAsia="宋体" w:cs="宋体"/>
          <w:sz w:val="24"/>
        </w:rPr>
        <w:t>分基础上扣</w:t>
      </w:r>
      <w:r>
        <w:rPr>
          <w:rFonts w:ascii="宋体" w:hAnsi="宋体" w:eastAsia="宋体" w:cs="宋体"/>
          <w:sz w:val="24"/>
        </w:rPr>
        <w:t>1</w:t>
      </w:r>
      <w:r>
        <w:rPr>
          <w:rFonts w:hint="eastAsia" w:ascii="宋体" w:hAnsi="宋体" w:eastAsia="宋体" w:cs="宋体"/>
          <w:sz w:val="24"/>
        </w:rPr>
        <w:t>分；不足</w:t>
      </w:r>
      <w:r>
        <w:rPr>
          <w:rFonts w:ascii="宋体" w:hAnsi="宋体" w:eastAsia="宋体" w:cs="宋体"/>
          <w:sz w:val="24"/>
        </w:rPr>
        <w:t>1%</w:t>
      </w:r>
      <w:r>
        <w:rPr>
          <w:rFonts w:hint="eastAsia" w:ascii="宋体" w:hAnsi="宋体" w:eastAsia="宋体" w:cs="宋体"/>
          <w:sz w:val="24"/>
        </w:rPr>
        <w:t>的，按</w:t>
      </w:r>
      <w:r>
        <w:rPr>
          <w:rFonts w:ascii="宋体" w:hAnsi="宋体" w:eastAsia="宋体" w:cs="宋体"/>
          <w:sz w:val="24"/>
        </w:rPr>
        <w:t>1%</w:t>
      </w:r>
      <w:r>
        <w:rPr>
          <w:rFonts w:hint="eastAsia" w:ascii="宋体" w:hAnsi="宋体" w:eastAsia="宋体" w:cs="宋体"/>
          <w:sz w:val="24"/>
        </w:rPr>
        <w:t>计算。</w:t>
      </w:r>
    </w:p>
    <w:p>
      <w:pPr>
        <w:spacing w:line="360" w:lineRule="auto"/>
        <w:ind w:firstLine="480"/>
        <w:rPr>
          <w:rFonts w:ascii="宋体" w:hAnsi="宋体" w:eastAsia="宋体" w:cs="宋体"/>
          <w:bCs/>
          <w:sz w:val="24"/>
        </w:rPr>
      </w:pPr>
      <w:r>
        <w:rPr>
          <w:rFonts w:hint="eastAsia" w:ascii="宋体" w:hAnsi="宋体" w:eastAsia="宋体"/>
          <w:b/>
          <w:sz w:val="24"/>
        </w:rPr>
        <w:t>4</w:t>
      </w:r>
      <w:r>
        <w:rPr>
          <w:rFonts w:hint="eastAsia" w:ascii="宋体" w:hAnsi="宋体" w:eastAsia="宋体" w:cs="宋体"/>
          <w:bCs/>
          <w:sz w:val="24"/>
        </w:rPr>
        <w:t>.</w:t>
      </w:r>
      <w:r>
        <w:rPr>
          <w:rFonts w:hint="eastAsia" w:ascii="宋体" w:hAnsi="宋体" w:eastAsia="宋体" w:cs="宋体"/>
          <w:b/>
          <w:bCs/>
          <w:sz w:val="24"/>
        </w:rPr>
        <w:t>2技术部分：35分</w:t>
      </w:r>
    </w:p>
    <w:p>
      <w:pPr>
        <w:spacing w:line="360" w:lineRule="auto"/>
        <w:ind w:firstLine="480"/>
        <w:rPr>
          <w:rFonts w:ascii="宋体" w:hAnsi="宋体" w:eastAsia="宋体" w:cs="宋体"/>
          <w:bCs/>
          <w:sz w:val="24"/>
        </w:rPr>
      </w:pPr>
      <w:r>
        <w:rPr>
          <w:rFonts w:hint="eastAsia" w:ascii="宋体" w:hAnsi="宋体" w:eastAsia="宋体" w:cs="宋体"/>
          <w:b/>
          <w:bCs/>
          <w:sz w:val="24"/>
        </w:rPr>
        <w:t>（一）监理大纲（或监理方案）和措施　　　　　25分</w:t>
      </w:r>
    </w:p>
    <w:p>
      <w:pPr>
        <w:spacing w:line="360" w:lineRule="auto"/>
        <w:ind w:firstLine="480"/>
        <w:rPr>
          <w:rFonts w:ascii="宋体" w:hAnsi="宋体" w:eastAsia="宋体" w:cs="宋体"/>
          <w:bCs/>
          <w:sz w:val="24"/>
        </w:rPr>
      </w:pPr>
      <w:r>
        <w:rPr>
          <w:rFonts w:hint="eastAsia" w:ascii="宋体" w:hAnsi="宋体" w:eastAsia="宋体" w:cs="宋体"/>
          <w:bCs/>
          <w:sz w:val="24"/>
        </w:rPr>
        <w:t>1、拟投监理合同段的工程概述               0.6-1分</w:t>
      </w:r>
    </w:p>
    <w:p>
      <w:pPr>
        <w:spacing w:line="360" w:lineRule="auto"/>
        <w:ind w:firstLine="480"/>
        <w:rPr>
          <w:rFonts w:ascii="宋体" w:hAnsi="宋体" w:eastAsia="宋体" w:cs="宋体"/>
          <w:bCs/>
          <w:sz w:val="24"/>
        </w:rPr>
      </w:pPr>
      <w:r>
        <w:rPr>
          <w:rFonts w:hint="eastAsia" w:ascii="宋体" w:hAnsi="宋体" w:eastAsia="宋体" w:cs="宋体"/>
          <w:bCs/>
          <w:sz w:val="24"/>
        </w:rPr>
        <w:t>2、监理范围、监理内容                     0.6-1分</w:t>
      </w:r>
    </w:p>
    <w:p>
      <w:pPr>
        <w:spacing w:line="360" w:lineRule="auto"/>
        <w:ind w:firstLine="480"/>
        <w:rPr>
          <w:rFonts w:ascii="宋体" w:hAnsi="宋体" w:eastAsia="宋体" w:cs="宋体"/>
          <w:bCs/>
          <w:sz w:val="24"/>
        </w:rPr>
      </w:pPr>
      <w:r>
        <w:rPr>
          <w:rFonts w:hint="eastAsia" w:ascii="宋体" w:hAnsi="宋体" w:eastAsia="宋体" w:cs="宋体"/>
          <w:bCs/>
          <w:sz w:val="24"/>
        </w:rPr>
        <w:t>3、监理依据、监理工作目标                 0.6-2分</w:t>
      </w:r>
    </w:p>
    <w:p>
      <w:pPr>
        <w:spacing w:line="360" w:lineRule="auto"/>
        <w:ind w:firstLine="480"/>
        <w:rPr>
          <w:rFonts w:ascii="宋体" w:hAnsi="宋体" w:eastAsia="宋体" w:cs="宋体"/>
          <w:bCs/>
          <w:sz w:val="24"/>
        </w:rPr>
      </w:pPr>
      <w:r>
        <w:rPr>
          <w:rFonts w:hint="eastAsia" w:ascii="宋体" w:hAnsi="宋体" w:eastAsia="宋体" w:cs="宋体"/>
          <w:bCs/>
          <w:sz w:val="24"/>
        </w:rPr>
        <w:t>4、拟投监理合同段组织机构设置             0.6-2分</w:t>
      </w:r>
    </w:p>
    <w:p>
      <w:pPr>
        <w:spacing w:line="360" w:lineRule="auto"/>
        <w:ind w:firstLine="480"/>
        <w:rPr>
          <w:rFonts w:ascii="宋体" w:hAnsi="宋体" w:eastAsia="宋体" w:cs="宋体"/>
          <w:bCs/>
          <w:sz w:val="24"/>
        </w:rPr>
      </w:pPr>
      <w:r>
        <w:rPr>
          <w:rFonts w:hint="eastAsia" w:ascii="宋体" w:hAnsi="宋体" w:eastAsia="宋体" w:cs="宋体"/>
          <w:bCs/>
          <w:sz w:val="24"/>
        </w:rPr>
        <w:t>5、质量控制的方案与措施                   2.4-4分</w:t>
      </w:r>
    </w:p>
    <w:p>
      <w:pPr>
        <w:spacing w:line="360" w:lineRule="auto"/>
        <w:ind w:firstLine="480"/>
        <w:rPr>
          <w:rFonts w:ascii="宋体" w:hAnsi="宋体" w:eastAsia="宋体" w:cs="宋体"/>
          <w:bCs/>
          <w:sz w:val="24"/>
        </w:rPr>
      </w:pPr>
      <w:r>
        <w:rPr>
          <w:rFonts w:hint="eastAsia" w:ascii="宋体" w:hAnsi="宋体" w:eastAsia="宋体" w:cs="宋体"/>
          <w:bCs/>
          <w:sz w:val="24"/>
        </w:rPr>
        <w:t>6、进度控制的方案与措施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7、投资控制的方案与措施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8、安全管理的方案与措施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9、环保管理的方案与措施                   1.2-2分</w:t>
      </w:r>
    </w:p>
    <w:p>
      <w:pPr>
        <w:spacing w:line="360" w:lineRule="auto"/>
        <w:ind w:firstLine="480"/>
        <w:rPr>
          <w:rFonts w:ascii="宋体" w:hAnsi="宋体" w:eastAsia="宋体" w:cs="宋体"/>
          <w:bCs/>
          <w:sz w:val="24"/>
        </w:rPr>
      </w:pPr>
      <w:r>
        <w:rPr>
          <w:rFonts w:hint="eastAsia" w:ascii="宋体" w:hAnsi="宋体" w:eastAsia="宋体" w:cs="宋体"/>
          <w:bCs/>
          <w:sz w:val="24"/>
        </w:rPr>
        <w:t>10、合同、信息管理的方案与措施            2.4-4分</w:t>
      </w:r>
    </w:p>
    <w:p>
      <w:pPr>
        <w:spacing w:line="360" w:lineRule="auto"/>
        <w:ind w:firstLine="480"/>
        <w:rPr>
          <w:rFonts w:ascii="宋体" w:hAnsi="宋体" w:eastAsia="宋体" w:cs="宋体"/>
          <w:bCs/>
          <w:sz w:val="24"/>
        </w:rPr>
      </w:pPr>
      <w:r>
        <w:rPr>
          <w:rFonts w:hint="eastAsia" w:ascii="宋体" w:hAnsi="宋体" w:eastAsia="宋体" w:cs="宋体"/>
          <w:bCs/>
          <w:sz w:val="24"/>
        </w:rPr>
        <w:t>11、组织协调的方案与措施                  1.8-3分</w:t>
      </w:r>
    </w:p>
    <w:p>
      <w:pPr>
        <w:spacing w:line="360" w:lineRule="auto"/>
        <w:ind w:firstLine="480"/>
        <w:rPr>
          <w:rFonts w:ascii="宋体" w:hAnsi="宋体" w:eastAsia="宋体" w:cs="宋体"/>
          <w:b/>
          <w:bCs/>
          <w:sz w:val="24"/>
        </w:rPr>
      </w:pPr>
      <w:r>
        <w:rPr>
          <w:rFonts w:hint="eastAsia" w:ascii="宋体" w:hAnsi="宋体" w:eastAsia="宋体" w:cs="宋体"/>
          <w:b/>
          <w:bCs/>
          <w:sz w:val="24"/>
        </w:rPr>
        <w:t>（二） 监理工作重点与难点分析　  5分</w:t>
      </w:r>
    </w:p>
    <w:p>
      <w:pPr>
        <w:spacing w:line="360" w:lineRule="auto"/>
        <w:ind w:firstLine="480"/>
        <w:rPr>
          <w:rFonts w:ascii="宋体" w:hAnsi="宋体" w:eastAsia="宋体" w:cs="宋体"/>
          <w:b/>
          <w:bCs/>
          <w:sz w:val="24"/>
        </w:rPr>
      </w:pPr>
      <w:r>
        <w:rPr>
          <w:rFonts w:hint="eastAsia" w:ascii="宋体" w:hAnsi="宋体" w:eastAsia="宋体" w:cs="宋体"/>
          <w:b/>
          <w:bCs/>
          <w:sz w:val="24"/>
        </w:rPr>
        <w:t>（三）对本工程监理的合理化建议   5分</w:t>
      </w:r>
    </w:p>
    <w:p>
      <w:pPr>
        <w:spacing w:line="360" w:lineRule="auto"/>
        <w:ind w:firstLine="480"/>
        <w:rPr>
          <w:rFonts w:ascii="宋体" w:hAnsi="宋体" w:eastAsia="宋体" w:cs="宋体"/>
          <w:bCs/>
          <w:sz w:val="24"/>
        </w:rPr>
      </w:pPr>
      <w:r>
        <w:rPr>
          <w:rFonts w:hint="eastAsia" w:ascii="宋体" w:hAnsi="宋体" w:eastAsia="宋体" w:cs="宋体"/>
          <w:bCs/>
          <w:sz w:val="24"/>
        </w:rPr>
        <w:t>根据对所列各项的阐述进行横向比较，分三等计分，优（计满分）、良（计80%的分）、合格（计60%的分）。若缺项该项不得分。</w:t>
      </w:r>
    </w:p>
    <w:p>
      <w:pPr>
        <w:spacing w:line="360" w:lineRule="auto"/>
        <w:ind w:firstLine="480"/>
        <w:rPr>
          <w:rFonts w:ascii="宋体" w:hAnsi="宋体" w:eastAsia="宋体" w:cs="宋体"/>
          <w:b/>
          <w:bCs/>
          <w:sz w:val="24"/>
        </w:rPr>
      </w:pPr>
      <w:r>
        <w:rPr>
          <w:rFonts w:hint="eastAsia" w:ascii="宋体" w:hAnsi="宋体" w:eastAsia="宋体" w:cs="宋体"/>
          <w:b/>
          <w:bCs/>
          <w:sz w:val="24"/>
        </w:rPr>
        <w:t>4.3商务部分（55分）</w:t>
      </w:r>
    </w:p>
    <w:p>
      <w:pPr>
        <w:spacing w:line="360" w:lineRule="auto"/>
        <w:ind w:firstLine="480"/>
        <w:rPr>
          <w:rFonts w:ascii="宋体" w:hAnsi="宋体" w:eastAsia="宋体" w:cs="宋体"/>
          <w:bCs/>
          <w:sz w:val="24"/>
        </w:rPr>
      </w:pPr>
      <w:r>
        <w:rPr>
          <w:rFonts w:ascii="宋体" w:hAnsi="宋体" w:eastAsia="宋体" w:cs="宋体"/>
          <w:bCs/>
          <w:sz w:val="24"/>
        </w:rPr>
        <w:t>A、</w:t>
      </w:r>
      <w:r>
        <w:rPr>
          <w:rFonts w:hint="eastAsia" w:ascii="宋体" w:hAnsi="宋体" w:eastAsia="宋体" w:cs="宋体"/>
          <w:bCs/>
          <w:sz w:val="24"/>
        </w:rPr>
        <w:t>主要人员（15-25分）：总监理工程师为投标人自有人员且资格达到磋商文件人员最低要求的，得基本分</w:t>
      </w:r>
      <w:r>
        <w:rPr>
          <w:rFonts w:ascii="宋体" w:hAnsi="宋体" w:eastAsia="宋体" w:cs="宋体"/>
          <w:bCs/>
          <w:sz w:val="24"/>
        </w:rPr>
        <w:t>15</w:t>
      </w:r>
      <w:r>
        <w:rPr>
          <w:rFonts w:hint="eastAsia" w:ascii="宋体" w:hAnsi="宋体" w:eastAsia="宋体" w:cs="宋体"/>
          <w:bCs/>
          <w:sz w:val="24"/>
        </w:rPr>
        <w:t>分；</w:t>
      </w:r>
    </w:p>
    <w:p>
      <w:pPr>
        <w:spacing w:line="360" w:lineRule="auto"/>
        <w:ind w:firstLine="480"/>
        <w:rPr>
          <w:rFonts w:hint="eastAsia" w:ascii="宋体" w:hAnsi="宋体" w:eastAsia="宋体" w:cs="宋体"/>
          <w:bCs/>
          <w:sz w:val="24"/>
        </w:rPr>
      </w:pPr>
      <w:r>
        <w:rPr>
          <w:rFonts w:hint="eastAsia" w:ascii="宋体" w:hAnsi="宋体" w:eastAsia="宋体" w:cs="宋体"/>
          <w:bCs/>
          <w:sz w:val="24"/>
        </w:rPr>
        <w:t>总监理工程师为相关专业高级及以上技术职称的加</w:t>
      </w:r>
      <w:r>
        <w:rPr>
          <w:rFonts w:ascii="宋体" w:hAnsi="宋体" w:eastAsia="宋体" w:cs="宋体"/>
          <w:bCs/>
          <w:sz w:val="24"/>
        </w:rPr>
        <w:t>5</w:t>
      </w:r>
      <w:r>
        <w:rPr>
          <w:rFonts w:hint="eastAsia" w:ascii="宋体" w:hAnsi="宋体" w:eastAsia="宋体" w:cs="宋体"/>
          <w:bCs/>
          <w:sz w:val="24"/>
        </w:rPr>
        <w:t>分；</w:t>
      </w:r>
    </w:p>
    <w:p>
      <w:pPr>
        <w:spacing w:line="360" w:lineRule="auto"/>
        <w:ind w:firstLine="480"/>
        <w:rPr>
          <w:rFonts w:ascii="宋体" w:hAnsi="宋体" w:eastAsia="宋体" w:cs="宋体"/>
          <w:bCs/>
          <w:sz w:val="24"/>
        </w:rPr>
      </w:pPr>
      <w:r>
        <w:rPr>
          <w:rFonts w:hint="eastAsia" w:ascii="宋体" w:hAnsi="宋体" w:eastAsia="宋体" w:cs="宋体"/>
          <w:bCs/>
          <w:sz w:val="24"/>
          <w:lang w:eastAsia="zh-CN"/>
        </w:rPr>
        <w:t>总监理工程师取得监理工程师证</w:t>
      </w:r>
      <w:r>
        <w:rPr>
          <w:rFonts w:hint="eastAsia" w:ascii="宋体" w:hAnsi="宋体" w:eastAsia="宋体" w:cs="宋体"/>
          <w:bCs/>
          <w:sz w:val="24"/>
          <w:lang w:val="en-US" w:eastAsia="zh-CN"/>
        </w:rPr>
        <w:t>5年以上的加5分，最多加5分。</w:t>
      </w:r>
      <w:bookmarkStart w:id="261" w:name="_GoBack"/>
      <w:bookmarkEnd w:id="261"/>
    </w:p>
    <w:p>
      <w:pPr>
        <w:spacing w:line="360" w:lineRule="auto"/>
        <w:ind w:firstLine="480"/>
        <w:rPr>
          <w:rFonts w:ascii="宋体" w:hAnsi="宋体" w:eastAsia="宋体" w:cs="宋体"/>
          <w:bCs/>
          <w:sz w:val="24"/>
        </w:rPr>
      </w:pPr>
      <w:r>
        <w:rPr>
          <w:rFonts w:ascii="宋体" w:hAnsi="宋体" w:eastAsia="宋体" w:cs="宋体"/>
          <w:bCs/>
          <w:sz w:val="24"/>
        </w:rPr>
        <w:t>B、</w:t>
      </w:r>
      <w:r>
        <w:rPr>
          <w:rFonts w:hint="eastAsia" w:ascii="宋体" w:hAnsi="宋体" w:eastAsia="宋体" w:cs="宋体"/>
          <w:bCs/>
          <w:sz w:val="24"/>
        </w:rPr>
        <w:t>监理业绩（12-20分）：监理业绩达到磋商文件业绩最低要求的，得基本分</w:t>
      </w:r>
      <w:r>
        <w:rPr>
          <w:rFonts w:ascii="宋体" w:hAnsi="宋体" w:eastAsia="宋体" w:cs="宋体"/>
          <w:bCs/>
          <w:sz w:val="24"/>
        </w:rPr>
        <w:t>12</w:t>
      </w:r>
      <w:r>
        <w:rPr>
          <w:rFonts w:hint="eastAsia" w:ascii="宋体" w:hAnsi="宋体" w:eastAsia="宋体" w:cs="宋体"/>
          <w:bCs/>
          <w:sz w:val="24"/>
        </w:rPr>
        <w:t>分。201</w:t>
      </w:r>
      <w:r>
        <w:rPr>
          <w:rFonts w:hint="eastAsia" w:ascii="宋体" w:hAnsi="宋体" w:eastAsia="宋体" w:cs="宋体"/>
          <w:bCs/>
          <w:sz w:val="24"/>
          <w:lang w:val="en-US" w:eastAsia="zh-CN"/>
        </w:rPr>
        <w:t>6</w:t>
      </w:r>
      <w:r>
        <w:rPr>
          <w:rFonts w:hint="eastAsia" w:ascii="宋体" w:hAnsi="宋体" w:eastAsia="宋体" w:cs="宋体"/>
          <w:bCs/>
          <w:sz w:val="24"/>
        </w:rPr>
        <w:t>年1月至今每多承担一项不少于</w:t>
      </w:r>
      <w:r>
        <w:rPr>
          <w:rFonts w:ascii="宋体" w:hAnsi="宋体" w:eastAsia="宋体" w:cs="宋体"/>
          <w:bCs/>
          <w:sz w:val="24"/>
        </w:rPr>
        <w:t>20</w:t>
      </w:r>
      <w:r>
        <w:rPr>
          <w:rFonts w:hint="eastAsia" w:ascii="宋体" w:hAnsi="宋体" w:eastAsia="宋体" w:cs="宋体"/>
          <w:bCs/>
          <w:sz w:val="24"/>
        </w:rPr>
        <w:t>公里高速公路养护监理项目的加</w:t>
      </w:r>
      <w:r>
        <w:rPr>
          <w:rFonts w:ascii="宋体" w:hAnsi="宋体" w:eastAsia="宋体" w:cs="宋体"/>
          <w:bCs/>
          <w:sz w:val="24"/>
        </w:rPr>
        <w:t>4</w:t>
      </w:r>
      <w:r>
        <w:rPr>
          <w:rFonts w:hint="eastAsia" w:ascii="宋体" w:hAnsi="宋体" w:eastAsia="宋体" w:cs="宋体"/>
          <w:bCs/>
          <w:sz w:val="24"/>
        </w:rPr>
        <w:t>分，最多加</w:t>
      </w:r>
      <w:r>
        <w:rPr>
          <w:rFonts w:ascii="宋体" w:hAnsi="宋体" w:eastAsia="宋体" w:cs="宋体"/>
          <w:bCs/>
          <w:sz w:val="24"/>
        </w:rPr>
        <w:t>8</w:t>
      </w:r>
      <w:r>
        <w:rPr>
          <w:rFonts w:hint="eastAsia" w:ascii="宋体" w:hAnsi="宋体" w:eastAsia="宋体" w:cs="宋体"/>
          <w:bCs/>
          <w:sz w:val="24"/>
        </w:rPr>
        <w:t>分。</w:t>
      </w:r>
    </w:p>
    <w:p>
      <w:pPr>
        <w:spacing w:line="360" w:lineRule="auto"/>
        <w:ind w:firstLine="480"/>
        <w:rPr>
          <w:rFonts w:ascii="宋体" w:hAnsi="宋体" w:eastAsia="宋体" w:cs="宋体"/>
          <w:bCs/>
          <w:sz w:val="24"/>
        </w:rPr>
      </w:pPr>
      <w:r>
        <w:rPr>
          <w:rFonts w:hint="eastAsia" w:ascii="宋体" w:hAnsi="宋体" w:eastAsia="宋体" w:cs="宋体"/>
          <w:sz w:val="24"/>
          <w:szCs w:val="24"/>
        </w:rPr>
        <w:t>C</w:t>
      </w:r>
      <w:r>
        <w:rPr>
          <w:rFonts w:ascii="宋体" w:hAnsi="宋体" w:eastAsia="宋体" w:cs="宋体"/>
          <w:sz w:val="24"/>
          <w:szCs w:val="24"/>
        </w:rPr>
        <w:t>、</w:t>
      </w:r>
      <w:r>
        <w:rPr>
          <w:rFonts w:hint="eastAsia" w:ascii="宋体" w:hAnsi="宋体" w:eastAsia="宋体" w:cs="宋体"/>
          <w:sz w:val="24"/>
          <w:szCs w:val="24"/>
        </w:rPr>
        <w:t>信</w:t>
      </w:r>
      <w:r>
        <w:rPr>
          <w:rFonts w:hint="eastAsia" w:ascii="宋体" w:hAnsi="宋体" w:eastAsia="宋体" w:cs="宋体"/>
          <w:color w:val="auto"/>
          <w:sz w:val="24"/>
          <w:szCs w:val="24"/>
        </w:rPr>
        <w:t>誉（0-10分）</w:t>
      </w:r>
      <w:r>
        <w:rPr>
          <w:rFonts w:hint="eastAsia" w:ascii="宋体" w:hAnsi="宋体" w:eastAsia="宋体" w:cs="宋体"/>
          <w:bCs/>
          <w:color w:val="auto"/>
          <w:sz w:val="24"/>
        </w:rPr>
        <w:t>：（</w:t>
      </w:r>
      <w:r>
        <w:rPr>
          <w:rFonts w:ascii="宋体" w:hAnsi="宋体" w:eastAsia="宋体" w:cs="宋体"/>
          <w:bCs/>
          <w:color w:val="auto"/>
          <w:sz w:val="24"/>
        </w:rPr>
        <w:t>1</w:t>
      </w:r>
      <w:r>
        <w:rPr>
          <w:rFonts w:hint="eastAsia" w:ascii="宋体" w:hAnsi="宋体" w:eastAsia="宋体" w:cs="宋体"/>
          <w:bCs/>
          <w:color w:val="auto"/>
          <w:sz w:val="24"/>
        </w:rPr>
        <w:t>）参照交通运输部全国监理单位信用评价结果，</w:t>
      </w:r>
      <w:r>
        <w:rPr>
          <w:rFonts w:ascii="宋体" w:hAnsi="宋体" w:eastAsia="宋体" w:cs="宋体"/>
          <w:bCs/>
          <w:color w:val="auto"/>
          <w:sz w:val="24"/>
        </w:rPr>
        <w:t>201</w:t>
      </w:r>
      <w:r>
        <w:rPr>
          <w:rFonts w:hint="eastAsia" w:ascii="宋体" w:hAnsi="宋体" w:eastAsia="宋体" w:cs="宋体"/>
          <w:bCs/>
          <w:color w:val="auto"/>
          <w:sz w:val="24"/>
          <w:lang w:val="en-US" w:eastAsia="zh-CN"/>
        </w:rPr>
        <w:t>7</w:t>
      </w:r>
      <w:r>
        <w:rPr>
          <w:rFonts w:hint="eastAsia" w:ascii="宋体" w:hAnsi="宋体" w:eastAsia="宋体" w:cs="宋体"/>
          <w:bCs/>
          <w:color w:val="auto"/>
          <w:sz w:val="24"/>
        </w:rPr>
        <w:t>年、</w:t>
      </w:r>
      <w:r>
        <w:rPr>
          <w:rFonts w:ascii="宋体" w:hAnsi="宋体" w:eastAsia="宋体" w:cs="宋体"/>
          <w:bCs/>
          <w:color w:val="auto"/>
          <w:sz w:val="24"/>
        </w:rPr>
        <w:t>201</w:t>
      </w:r>
      <w:r>
        <w:rPr>
          <w:rFonts w:hint="eastAsia" w:ascii="宋体" w:hAnsi="宋体" w:eastAsia="宋体" w:cs="宋体"/>
          <w:bCs/>
          <w:color w:val="auto"/>
          <w:sz w:val="24"/>
          <w:lang w:val="en-US" w:eastAsia="zh-CN"/>
        </w:rPr>
        <w:t>8</w:t>
      </w:r>
      <w:r>
        <w:rPr>
          <w:rFonts w:hint="eastAsia" w:ascii="宋体" w:hAnsi="宋体" w:eastAsia="宋体" w:cs="宋体"/>
          <w:bCs/>
          <w:color w:val="auto"/>
          <w:sz w:val="24"/>
        </w:rPr>
        <w:t>年、</w:t>
      </w:r>
      <w:r>
        <w:rPr>
          <w:rFonts w:ascii="宋体" w:hAnsi="宋体" w:eastAsia="宋体" w:cs="宋体"/>
          <w:bCs/>
          <w:color w:val="auto"/>
          <w:sz w:val="24"/>
        </w:rPr>
        <w:t>201</w:t>
      </w:r>
      <w:r>
        <w:rPr>
          <w:rFonts w:hint="eastAsia" w:ascii="宋体" w:hAnsi="宋体" w:eastAsia="宋体" w:cs="宋体"/>
          <w:bCs/>
          <w:color w:val="auto"/>
          <w:sz w:val="24"/>
          <w:lang w:val="en-US" w:eastAsia="zh-CN"/>
        </w:rPr>
        <w:t>9</w:t>
      </w:r>
      <w:r>
        <w:rPr>
          <w:rFonts w:hint="eastAsia" w:ascii="宋体" w:hAnsi="宋体" w:eastAsia="宋体" w:cs="宋体"/>
          <w:bCs/>
          <w:color w:val="auto"/>
          <w:sz w:val="24"/>
        </w:rPr>
        <w:t>年连续三年获得</w:t>
      </w:r>
      <w:r>
        <w:rPr>
          <w:rFonts w:ascii="宋体" w:hAnsi="宋体" w:eastAsia="宋体" w:cs="宋体"/>
          <w:bCs/>
          <w:color w:val="auto"/>
          <w:sz w:val="24"/>
        </w:rPr>
        <w:t>A</w:t>
      </w:r>
      <w:r>
        <w:rPr>
          <w:rFonts w:hint="eastAsia" w:ascii="宋体" w:hAnsi="宋体" w:eastAsia="宋体" w:cs="宋体"/>
          <w:bCs/>
          <w:color w:val="auto"/>
          <w:sz w:val="24"/>
        </w:rPr>
        <w:t>级以上（含</w:t>
      </w:r>
      <w:r>
        <w:rPr>
          <w:rFonts w:ascii="宋体" w:hAnsi="宋体" w:eastAsia="宋体" w:cs="宋体"/>
          <w:bCs/>
          <w:color w:val="auto"/>
          <w:sz w:val="24"/>
        </w:rPr>
        <w:t>A</w:t>
      </w:r>
      <w:r>
        <w:rPr>
          <w:rFonts w:hint="eastAsia" w:ascii="宋体" w:hAnsi="宋体" w:eastAsia="宋体" w:cs="宋体"/>
          <w:bCs/>
          <w:color w:val="auto"/>
          <w:sz w:val="24"/>
        </w:rPr>
        <w:t>级）信用评价得</w:t>
      </w:r>
      <w:r>
        <w:rPr>
          <w:rFonts w:ascii="宋体" w:hAnsi="宋体" w:eastAsia="宋体" w:cs="宋体"/>
          <w:bCs/>
          <w:color w:val="auto"/>
          <w:sz w:val="24"/>
        </w:rPr>
        <w:t>5</w:t>
      </w:r>
      <w:r>
        <w:rPr>
          <w:rFonts w:hint="eastAsia" w:ascii="宋体" w:hAnsi="宋体" w:eastAsia="宋体" w:cs="宋体"/>
          <w:bCs/>
          <w:color w:val="auto"/>
          <w:sz w:val="24"/>
        </w:rPr>
        <w:t>分，连续两年获得</w:t>
      </w:r>
      <w:r>
        <w:rPr>
          <w:rFonts w:ascii="宋体" w:hAnsi="宋体" w:eastAsia="宋体" w:cs="宋体"/>
          <w:bCs/>
          <w:color w:val="auto"/>
          <w:sz w:val="24"/>
        </w:rPr>
        <w:t>A</w:t>
      </w:r>
      <w:r>
        <w:rPr>
          <w:rFonts w:hint="eastAsia" w:ascii="宋体" w:hAnsi="宋体" w:eastAsia="宋体" w:cs="宋体"/>
          <w:bCs/>
          <w:color w:val="auto"/>
          <w:sz w:val="24"/>
        </w:rPr>
        <w:t>级以上（含</w:t>
      </w:r>
      <w:r>
        <w:rPr>
          <w:rFonts w:ascii="宋体" w:hAnsi="宋体" w:eastAsia="宋体" w:cs="宋体"/>
          <w:bCs/>
          <w:color w:val="auto"/>
          <w:sz w:val="24"/>
        </w:rPr>
        <w:t>A</w:t>
      </w:r>
      <w:r>
        <w:rPr>
          <w:rFonts w:hint="eastAsia" w:ascii="宋体" w:hAnsi="宋体" w:eastAsia="宋体" w:cs="宋体"/>
          <w:bCs/>
          <w:color w:val="auto"/>
          <w:sz w:val="24"/>
        </w:rPr>
        <w:t>级）信用评价得</w:t>
      </w:r>
      <w:r>
        <w:rPr>
          <w:rFonts w:ascii="宋体" w:hAnsi="宋体" w:eastAsia="宋体" w:cs="宋体"/>
          <w:bCs/>
          <w:sz w:val="24"/>
        </w:rPr>
        <w:t>2</w:t>
      </w:r>
      <w:r>
        <w:rPr>
          <w:rFonts w:hint="eastAsia" w:ascii="宋体" w:hAnsi="宋体" w:eastAsia="宋体" w:cs="宋体"/>
          <w:bCs/>
          <w:sz w:val="24"/>
        </w:rPr>
        <w:t>分，否则不得分；</w:t>
      </w:r>
    </w:p>
    <w:p>
      <w:pPr>
        <w:spacing w:line="360" w:lineRule="auto"/>
        <w:ind w:firstLine="480"/>
        <w:rPr>
          <w:rFonts w:ascii="宋体" w:hAnsi="宋体" w:eastAsia="宋体" w:cs="宋体"/>
          <w:bCs/>
          <w:sz w:val="24"/>
        </w:rPr>
      </w:pPr>
      <w:r>
        <w:rPr>
          <w:rFonts w:hint="eastAsia" w:ascii="宋体" w:hAnsi="宋体" w:eastAsia="宋体" w:cs="宋体"/>
          <w:bCs/>
          <w:sz w:val="24"/>
        </w:rPr>
        <w:t>（</w:t>
      </w:r>
      <w:r>
        <w:rPr>
          <w:rFonts w:ascii="宋体" w:hAnsi="宋体" w:eastAsia="宋体" w:cs="宋体"/>
          <w:bCs/>
          <w:sz w:val="24"/>
        </w:rPr>
        <w:t>2</w:t>
      </w:r>
      <w:r>
        <w:rPr>
          <w:rFonts w:hint="eastAsia" w:ascii="宋体" w:hAnsi="宋体" w:eastAsia="宋体" w:cs="宋体"/>
          <w:bCs/>
          <w:sz w:val="24"/>
        </w:rPr>
        <w:t>）投标人在近</w:t>
      </w:r>
      <w:r>
        <w:rPr>
          <w:rFonts w:ascii="宋体" w:hAnsi="宋体" w:eastAsia="宋体" w:cs="宋体"/>
          <w:bCs/>
          <w:sz w:val="24"/>
        </w:rPr>
        <w:t>5</w:t>
      </w:r>
      <w:r>
        <w:rPr>
          <w:rFonts w:hint="eastAsia" w:ascii="宋体" w:hAnsi="宋体" w:eastAsia="宋体" w:cs="宋体"/>
          <w:bCs/>
          <w:sz w:val="24"/>
        </w:rPr>
        <w:t>年获得市级及以上授予的先进监理单位或相关先进表彰的，一次加</w:t>
      </w:r>
      <w:r>
        <w:rPr>
          <w:rFonts w:ascii="宋体" w:hAnsi="宋体" w:eastAsia="宋体" w:cs="宋体"/>
          <w:bCs/>
          <w:sz w:val="24"/>
        </w:rPr>
        <w:t>5</w:t>
      </w:r>
      <w:r>
        <w:rPr>
          <w:rFonts w:hint="eastAsia" w:ascii="宋体" w:hAnsi="宋体" w:eastAsia="宋体" w:cs="宋体"/>
          <w:bCs/>
          <w:sz w:val="24"/>
        </w:rPr>
        <w:t>分，最多</w:t>
      </w:r>
      <w:r>
        <w:rPr>
          <w:rFonts w:ascii="宋体" w:hAnsi="宋体" w:eastAsia="宋体" w:cs="宋体"/>
          <w:bCs/>
          <w:sz w:val="24"/>
        </w:rPr>
        <w:t>5</w:t>
      </w:r>
      <w:r>
        <w:rPr>
          <w:rFonts w:hint="eastAsia" w:ascii="宋体" w:hAnsi="宋体" w:eastAsia="宋体" w:cs="宋体"/>
          <w:bCs/>
          <w:sz w:val="24"/>
        </w:rPr>
        <w:t>分。</w:t>
      </w:r>
    </w:p>
    <w:p>
      <w:pPr>
        <w:spacing w:line="360" w:lineRule="auto"/>
        <w:ind w:firstLine="480"/>
        <w:rPr>
          <w:rFonts w:ascii="宋体" w:hAnsi="宋体" w:eastAsia="宋体" w:cs="宋体"/>
          <w:bCs/>
          <w:sz w:val="24"/>
        </w:rPr>
      </w:pPr>
      <w:r>
        <w:rPr>
          <w:rFonts w:hint="eastAsia" w:ascii="宋体" w:hAnsi="宋体" w:eastAsia="宋体" w:cs="宋体"/>
          <w:bCs/>
          <w:sz w:val="24"/>
        </w:rPr>
        <w:t>注：</w:t>
      </w:r>
      <w:r>
        <w:rPr>
          <w:rFonts w:ascii="宋体" w:hAnsi="宋体" w:eastAsia="宋体" w:cs="宋体"/>
          <w:bCs/>
          <w:sz w:val="24"/>
        </w:rPr>
        <w:t>1</w:t>
      </w:r>
      <w:r>
        <w:rPr>
          <w:rFonts w:hint="eastAsia" w:ascii="宋体" w:hAnsi="宋体" w:eastAsia="宋体" w:cs="宋体"/>
          <w:bCs/>
          <w:sz w:val="24"/>
        </w:rPr>
        <w:t>、必须在本单位进行岗位登记、依法签订劳动合同且并附有效的社保证明的人员才能被认定为自有人员。</w:t>
      </w:r>
    </w:p>
    <w:p>
      <w:pPr>
        <w:spacing w:line="360" w:lineRule="auto"/>
        <w:ind w:firstLine="480"/>
        <w:rPr>
          <w:rFonts w:ascii="宋体" w:hAnsi="宋体" w:eastAsia="宋体" w:cs="宋体"/>
          <w:bCs/>
          <w:sz w:val="24"/>
        </w:rPr>
      </w:pPr>
      <w:r>
        <w:rPr>
          <w:rFonts w:ascii="宋体" w:hAnsi="宋体" w:eastAsia="宋体" w:cs="宋体"/>
          <w:bCs/>
          <w:sz w:val="24"/>
        </w:rPr>
        <w:t>2</w:t>
      </w:r>
      <w:r>
        <w:rPr>
          <w:rFonts w:hint="eastAsia" w:ascii="宋体" w:hAnsi="宋体" w:eastAsia="宋体" w:cs="宋体"/>
          <w:bCs/>
          <w:sz w:val="24"/>
        </w:rPr>
        <w:t>、业绩必须是投标人独立完成的业绩（联合体不计）。投标人须在响应文件内提供相应业绩的监理合同协议书、及工程交工验收评定证书或等级质量鉴定证书的或建设方出具的业绩证明材料的</w:t>
      </w:r>
      <w:r>
        <w:rPr>
          <w:rFonts w:hint="eastAsia" w:ascii="宋体" w:hAnsi="宋体" w:eastAsia="宋体" w:cs="宋体"/>
          <w:bCs/>
          <w:sz w:val="24"/>
          <w:highlight w:val="yellow"/>
        </w:rPr>
        <w:t>彩色扫描件</w:t>
      </w:r>
      <w:r>
        <w:rPr>
          <w:rFonts w:hint="eastAsia" w:ascii="宋体" w:hAnsi="宋体" w:eastAsia="宋体" w:cs="宋体"/>
          <w:bCs/>
          <w:sz w:val="24"/>
        </w:rPr>
        <w:t>，招标人只对满足以上要求，并且签订协议方与投标单位名称相同的的业绩进行核定。</w:t>
      </w:r>
    </w:p>
    <w:p>
      <w:pPr>
        <w:spacing w:line="360" w:lineRule="auto"/>
        <w:ind w:firstLine="480"/>
        <w:rPr>
          <w:rFonts w:hint="eastAsia" w:ascii="宋体" w:hAnsi="宋体" w:eastAsia="宋体" w:cs="宋体"/>
          <w:bCs/>
          <w:sz w:val="24"/>
        </w:rPr>
      </w:pPr>
      <w:r>
        <w:rPr>
          <w:rFonts w:hint="eastAsia" w:ascii="宋体" w:hAnsi="宋体" w:eastAsia="宋体" w:cs="宋体"/>
          <w:bCs/>
          <w:sz w:val="24"/>
        </w:rPr>
        <w:t>3、所有获奖证书必须在</w:t>
      </w:r>
      <w:r>
        <w:rPr>
          <w:rFonts w:hint="eastAsia" w:ascii="宋体" w:hAnsi="宋体" w:eastAsia="宋体" w:cs="宋体"/>
          <w:bCs/>
          <w:sz w:val="24"/>
          <w:lang w:eastAsia="zh-CN"/>
        </w:rPr>
        <w:t>响应文件</w:t>
      </w:r>
      <w:r>
        <w:rPr>
          <w:rFonts w:hint="eastAsia" w:ascii="宋体" w:hAnsi="宋体" w:eastAsia="宋体" w:cs="宋体"/>
          <w:bCs/>
          <w:sz w:val="24"/>
        </w:rPr>
        <w:t>中提供证书及发证机关下发的文件的</w:t>
      </w:r>
      <w:r>
        <w:rPr>
          <w:rFonts w:hint="eastAsia" w:ascii="宋体" w:hAnsi="宋体" w:eastAsia="宋体" w:cs="宋体"/>
          <w:bCs/>
          <w:sz w:val="24"/>
          <w:highlight w:val="yellow"/>
        </w:rPr>
        <w:t>彩色扫描件</w:t>
      </w:r>
      <w:r>
        <w:rPr>
          <w:rFonts w:hint="eastAsia" w:ascii="宋体" w:hAnsi="宋体" w:eastAsia="宋体" w:cs="宋体"/>
          <w:bCs/>
          <w:sz w:val="24"/>
        </w:rPr>
        <w:t>，否则无效。</w:t>
      </w:r>
      <w:bookmarkStart w:id="231" w:name="_TOC_250000"/>
      <w:bookmarkEnd w:id="231"/>
      <w:bookmarkStart w:id="232" w:name="第四章_技术标准和要求"/>
      <w:bookmarkEnd w:id="232"/>
      <w:bookmarkStart w:id="233" w:name="第五章_工程量清单（另发）"/>
      <w:bookmarkEnd w:id="233"/>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br w:type="page"/>
      </w:r>
    </w:p>
    <w:p>
      <w:pPr>
        <w:pStyle w:val="3"/>
        <w:bidi w:val="0"/>
        <w:outlineLvl w:val="9"/>
        <w:rPr>
          <w:rFonts w:hint="eastAsia" w:ascii="宋体" w:hAnsi="宋体" w:eastAsia="宋体" w:cs="宋体"/>
          <w:lang w:eastAsia="zh-CN"/>
        </w:rPr>
      </w:pPr>
    </w:p>
    <w:p>
      <w:pPr>
        <w:pStyle w:val="3"/>
        <w:bidi w:val="0"/>
        <w:rPr>
          <w:rFonts w:hint="eastAsia" w:ascii="宋体" w:hAnsi="宋体" w:eastAsia="宋体" w:cs="宋体"/>
        </w:rPr>
      </w:pPr>
      <w:bookmarkStart w:id="234" w:name="_Toc27405"/>
      <w:r>
        <w:rPr>
          <w:rFonts w:hint="eastAsia" w:ascii="宋体" w:hAnsi="宋体" w:eastAsia="宋体" w:cs="宋体"/>
          <w:lang w:eastAsia="zh-CN"/>
        </w:rPr>
        <w:t>第五章</w:t>
      </w:r>
      <w:r>
        <w:rPr>
          <w:rFonts w:hint="eastAsia" w:ascii="宋体" w:hAnsi="宋体" w:eastAsia="宋体" w:cs="宋体"/>
          <w:lang w:val="en-US" w:eastAsia="zh-CN"/>
        </w:rPr>
        <w:t xml:space="preserve">   </w:t>
      </w:r>
      <w:r>
        <w:rPr>
          <w:rFonts w:hint="eastAsia" w:ascii="宋体" w:hAnsi="宋体" w:eastAsia="宋体" w:cs="宋体"/>
        </w:rPr>
        <w:t>响应文件格式</w:t>
      </w:r>
      <w:bookmarkEnd w:id="234"/>
    </w:p>
    <w:p>
      <w:pPr>
        <w:pStyle w:val="12"/>
        <w:rPr>
          <w:b/>
          <w:sz w:val="20"/>
        </w:rPr>
      </w:pPr>
    </w:p>
    <w:p>
      <w:pPr>
        <w:pStyle w:val="12"/>
        <w:rPr>
          <w:b/>
          <w:sz w:val="20"/>
        </w:rPr>
      </w:pPr>
    </w:p>
    <w:p>
      <w:pPr>
        <w:pStyle w:val="12"/>
        <w:spacing w:before="6"/>
        <w:rPr>
          <w:b/>
          <w:sz w:val="18"/>
        </w:rPr>
      </w:pPr>
    </w:p>
    <w:p>
      <w:pPr>
        <w:spacing w:before="62"/>
        <w:ind w:right="675"/>
        <w:jc w:val="right"/>
        <w:outlineLvl w:val="0"/>
        <w:rPr>
          <w:b/>
          <w:sz w:val="28"/>
        </w:rPr>
      </w:pPr>
      <w:bookmarkStart w:id="235" w:name="_Toc32078"/>
      <w:r>
        <w:rPr>
          <w:b/>
          <w:w w:val="95"/>
          <w:sz w:val="28"/>
          <w:u w:val="single"/>
        </w:rPr>
        <w:t>（正/副本）</w:t>
      </w:r>
      <w:bookmarkEnd w:id="235"/>
    </w:p>
    <w:p>
      <w:pPr>
        <w:pStyle w:val="12"/>
        <w:rPr>
          <w:b/>
          <w:sz w:val="20"/>
        </w:rPr>
      </w:pPr>
    </w:p>
    <w:p>
      <w:pPr>
        <w:pStyle w:val="12"/>
        <w:rPr>
          <w:b/>
          <w:sz w:val="20"/>
        </w:rPr>
      </w:pPr>
    </w:p>
    <w:p>
      <w:pPr>
        <w:pStyle w:val="12"/>
        <w:rPr>
          <w:b/>
          <w:sz w:val="20"/>
        </w:rPr>
      </w:pPr>
    </w:p>
    <w:p>
      <w:pPr>
        <w:pStyle w:val="12"/>
        <w:rPr>
          <w:b/>
          <w:sz w:val="20"/>
        </w:rPr>
      </w:pPr>
    </w:p>
    <w:p>
      <w:pPr>
        <w:pStyle w:val="12"/>
        <w:rPr>
          <w:b/>
          <w:sz w:val="20"/>
        </w:rPr>
      </w:pPr>
    </w:p>
    <w:p>
      <w:pPr>
        <w:pStyle w:val="12"/>
        <w:spacing w:before="12"/>
        <w:rPr>
          <w:b/>
          <w:sz w:val="21"/>
        </w:rPr>
      </w:pPr>
    </w:p>
    <w:p>
      <w:pPr>
        <w:tabs>
          <w:tab w:val="left" w:pos="3374"/>
        </w:tabs>
        <w:spacing w:before="71"/>
        <w:ind w:right="263"/>
        <w:jc w:val="center"/>
        <w:rPr>
          <w:b/>
          <w:sz w:val="28"/>
        </w:rPr>
      </w:pPr>
      <w:r>
        <w:rPr>
          <w:rFonts w:ascii="Times New Roman" w:eastAsia="Times New Roman"/>
          <w:b/>
          <w:sz w:val="28"/>
          <w:u w:val="single"/>
        </w:rPr>
        <w:tab/>
      </w:r>
      <w:r>
        <w:rPr>
          <w:b/>
          <w:sz w:val="28"/>
        </w:rPr>
        <w:t>（项目名称）</w:t>
      </w:r>
    </w:p>
    <w:p>
      <w:pPr>
        <w:pStyle w:val="12"/>
        <w:rPr>
          <w:b/>
          <w:sz w:val="30"/>
        </w:rPr>
      </w:pPr>
    </w:p>
    <w:p>
      <w:pPr>
        <w:pStyle w:val="12"/>
        <w:spacing w:before="2"/>
        <w:rPr>
          <w:b/>
          <w:sz w:val="29"/>
        </w:rPr>
      </w:pPr>
    </w:p>
    <w:p>
      <w:pPr>
        <w:ind w:left="417" w:right="692"/>
        <w:jc w:val="center"/>
        <w:rPr>
          <w:b/>
          <w:sz w:val="48"/>
        </w:rPr>
      </w:pPr>
      <w:r>
        <w:rPr>
          <w:b/>
          <w:sz w:val="48"/>
        </w:rPr>
        <w:t>响应文件</w:t>
      </w:r>
    </w:p>
    <w:p>
      <w:pPr>
        <w:pStyle w:val="12"/>
        <w:rPr>
          <w:b/>
          <w:sz w:val="48"/>
        </w:rPr>
      </w:pPr>
    </w:p>
    <w:p>
      <w:pPr>
        <w:pStyle w:val="12"/>
        <w:rPr>
          <w:b/>
          <w:sz w:val="48"/>
        </w:rPr>
      </w:pPr>
    </w:p>
    <w:p>
      <w:pPr>
        <w:pStyle w:val="12"/>
        <w:rPr>
          <w:b/>
          <w:sz w:val="48"/>
        </w:rPr>
      </w:pPr>
    </w:p>
    <w:p>
      <w:pPr>
        <w:pStyle w:val="12"/>
        <w:rPr>
          <w:b/>
          <w:sz w:val="48"/>
        </w:rPr>
      </w:pPr>
    </w:p>
    <w:p>
      <w:pPr>
        <w:pStyle w:val="12"/>
        <w:rPr>
          <w:b/>
          <w:sz w:val="48"/>
        </w:rPr>
      </w:pPr>
    </w:p>
    <w:p>
      <w:pPr>
        <w:pStyle w:val="12"/>
        <w:rPr>
          <w:b/>
          <w:sz w:val="48"/>
        </w:rPr>
      </w:pPr>
    </w:p>
    <w:p>
      <w:pPr>
        <w:tabs>
          <w:tab w:val="left" w:pos="5927"/>
          <w:tab w:val="left" w:pos="6760"/>
        </w:tabs>
        <w:spacing w:line="417" w:lineRule="auto"/>
        <w:ind w:right="-50" w:rightChars="0"/>
        <w:jc w:val="both"/>
        <w:rPr>
          <w:b/>
          <w:sz w:val="28"/>
        </w:rPr>
      </w:pPr>
      <w:r>
        <w:rPr>
          <w:rFonts w:hint="eastAsia"/>
          <w:b/>
          <w:sz w:val="28"/>
        </w:rPr>
        <w:t>供应商</w:t>
      </w:r>
      <w:r>
        <w:rPr>
          <w:b/>
          <w:sz w:val="28"/>
        </w:rPr>
        <w:t>：</w:t>
      </w:r>
      <w:r>
        <w:rPr>
          <w:rFonts w:hint="eastAsia"/>
          <w:b/>
          <w:sz w:val="28"/>
          <w:u w:val="single"/>
          <w:lang w:val="en-US" w:eastAsia="zh-CN"/>
        </w:rPr>
        <w:t xml:space="preserve">                                    </w:t>
      </w:r>
      <w:r>
        <w:rPr>
          <w:b/>
          <w:sz w:val="28"/>
        </w:rPr>
        <w:t xml:space="preserve">（盖单位章） </w:t>
      </w:r>
    </w:p>
    <w:p>
      <w:pPr>
        <w:tabs>
          <w:tab w:val="left" w:pos="5927"/>
          <w:tab w:val="left" w:pos="6760"/>
        </w:tabs>
        <w:spacing w:line="417" w:lineRule="auto"/>
        <w:ind w:right="2259"/>
        <w:jc w:val="both"/>
        <w:rPr>
          <w:b/>
          <w:sz w:val="28"/>
        </w:rPr>
      </w:pPr>
      <w:r>
        <w:rPr>
          <w:b/>
          <w:sz w:val="28"/>
        </w:rPr>
        <w:t>法定代表人或其委托代理人：</w:t>
      </w:r>
      <w:r>
        <w:rPr>
          <w:b/>
          <w:sz w:val="28"/>
          <w:u w:val="single"/>
        </w:rPr>
        <w:tab/>
      </w:r>
      <w:r>
        <w:rPr>
          <w:b/>
          <w:sz w:val="28"/>
          <w:u w:val="single"/>
        </w:rPr>
        <w:tab/>
      </w:r>
      <w:r>
        <w:rPr>
          <w:b/>
          <w:sz w:val="28"/>
        </w:rPr>
        <w:t>（签字</w:t>
      </w:r>
      <w:r>
        <w:rPr>
          <w:b/>
          <w:spacing w:val="-14"/>
          <w:sz w:val="28"/>
        </w:rPr>
        <w:t>）</w:t>
      </w:r>
    </w:p>
    <w:p>
      <w:pPr>
        <w:tabs>
          <w:tab w:val="left" w:pos="842"/>
          <w:tab w:val="left" w:pos="1687"/>
          <w:tab w:val="left" w:pos="2529"/>
        </w:tabs>
        <w:ind w:right="274"/>
        <w:jc w:val="center"/>
        <w:rPr>
          <w:b/>
          <w:sz w:val="28"/>
        </w:rPr>
      </w:pPr>
      <w:r>
        <w:rPr>
          <w:rFonts w:ascii="Times New Roman" w:eastAsia="Times New Roman"/>
          <w:b/>
          <w:sz w:val="28"/>
          <w:u w:val="single"/>
        </w:rPr>
        <w:tab/>
      </w:r>
      <w:r>
        <w:rPr>
          <w:b/>
          <w:sz w:val="28"/>
        </w:rPr>
        <w:t>年</w:t>
      </w:r>
      <w:r>
        <w:rPr>
          <w:b/>
          <w:sz w:val="28"/>
          <w:u w:val="single"/>
        </w:rPr>
        <w:tab/>
      </w:r>
      <w:r>
        <w:rPr>
          <w:b/>
          <w:sz w:val="28"/>
        </w:rPr>
        <w:t>月</w:t>
      </w:r>
      <w:r>
        <w:rPr>
          <w:b/>
          <w:sz w:val="28"/>
          <w:u w:val="single"/>
        </w:rPr>
        <w:tab/>
      </w:r>
      <w:r>
        <w:rPr>
          <w:b/>
          <w:sz w:val="28"/>
        </w:rPr>
        <w:t>日</w:t>
      </w:r>
    </w:p>
    <w:p>
      <w:pPr>
        <w:jc w:val="center"/>
        <w:rPr>
          <w:sz w:val="28"/>
        </w:rPr>
        <w:sectPr>
          <w:footerReference r:id="rId8" w:type="default"/>
          <w:pgSz w:w="11910" w:h="16840"/>
          <w:pgMar w:top="1440" w:right="1800" w:bottom="1440" w:left="1800" w:header="902" w:footer="991" w:gutter="0"/>
          <w:cols w:space="720" w:num="1"/>
        </w:sectPr>
      </w:pPr>
    </w:p>
    <w:p>
      <w:pPr>
        <w:pStyle w:val="12"/>
        <w:spacing w:before="11"/>
        <w:rPr>
          <w:b/>
          <w:sz w:val="28"/>
        </w:rPr>
      </w:pPr>
    </w:p>
    <w:p>
      <w:pPr>
        <w:tabs>
          <w:tab w:val="left" w:pos="799"/>
        </w:tabs>
        <w:spacing w:before="55"/>
        <w:ind w:right="280"/>
        <w:jc w:val="center"/>
        <w:rPr>
          <w:sz w:val="32"/>
        </w:rPr>
      </w:pPr>
      <w:r>
        <w:rPr>
          <w:sz w:val="32"/>
        </w:rPr>
        <w:t>目</w:t>
      </w:r>
      <w:r>
        <w:rPr>
          <w:sz w:val="32"/>
        </w:rPr>
        <w:tab/>
      </w:r>
      <w:r>
        <w:rPr>
          <w:sz w:val="32"/>
        </w:rPr>
        <w:t>录</w:t>
      </w:r>
    </w:p>
    <w:p>
      <w:pPr>
        <w:spacing w:line="360" w:lineRule="auto"/>
        <w:ind w:firstLine="480"/>
        <w:rPr>
          <w:rFonts w:hint="eastAsia" w:ascii="宋体" w:hAnsi="宋体" w:eastAsia="宋体" w:cs="宋体"/>
          <w:bCs/>
          <w:sz w:val="24"/>
        </w:rPr>
      </w:pPr>
    </w:p>
    <w:p>
      <w:pPr>
        <w:spacing w:line="360" w:lineRule="auto"/>
        <w:ind w:firstLine="480"/>
        <w:rPr>
          <w:rFonts w:hint="eastAsia" w:ascii="宋体" w:hAnsi="宋体" w:eastAsia="宋体" w:cs="宋体"/>
          <w:bCs/>
          <w:sz w:val="24"/>
        </w:rPr>
      </w:pPr>
      <w:r>
        <w:rPr>
          <w:rFonts w:hint="eastAsia" w:ascii="宋体" w:hAnsi="宋体" w:eastAsia="宋体" w:cs="宋体"/>
          <w:bCs/>
          <w:sz w:val="24"/>
        </w:rPr>
        <w:t>洛阳市工程建设项目廉洁自律告知书</w:t>
      </w:r>
    </w:p>
    <w:p>
      <w:pPr>
        <w:spacing w:line="360" w:lineRule="auto"/>
        <w:ind w:firstLine="480"/>
        <w:rPr>
          <w:rFonts w:hint="eastAsia" w:ascii="宋体" w:hAnsi="宋体" w:eastAsia="宋体" w:cs="宋体"/>
          <w:bCs/>
          <w:sz w:val="24"/>
          <w:lang w:val="zh-CN" w:eastAsia="zh-CN"/>
        </w:rPr>
      </w:pPr>
      <w:r>
        <w:rPr>
          <w:rFonts w:hint="eastAsia" w:ascii="宋体" w:hAnsi="宋体" w:eastAsia="宋体" w:cs="宋体"/>
          <w:bCs/>
          <w:sz w:val="24"/>
          <w:lang w:val="zh-CN" w:eastAsia="zh-CN"/>
        </w:rPr>
        <w:t>洛阳市工程建设项目廉洁自律承诺书</w:t>
      </w:r>
    </w:p>
    <w:p>
      <w:pPr>
        <w:spacing w:line="360" w:lineRule="auto"/>
        <w:ind w:firstLine="480"/>
        <w:rPr>
          <w:rFonts w:hint="eastAsia" w:ascii="宋体" w:hAnsi="宋体" w:eastAsia="宋体" w:cs="宋体"/>
          <w:bCs/>
          <w:sz w:val="24"/>
        </w:rPr>
      </w:pPr>
      <w:r>
        <w:rPr>
          <w:rFonts w:hint="eastAsia" w:ascii="宋体" w:hAnsi="宋体" w:eastAsia="宋体" w:cs="宋体"/>
          <w:bCs/>
          <w:sz w:val="24"/>
        </w:rPr>
        <w:t>（1）响应函；</w:t>
      </w:r>
    </w:p>
    <w:p>
      <w:pPr>
        <w:spacing w:line="360" w:lineRule="auto"/>
        <w:ind w:firstLine="480"/>
        <w:rPr>
          <w:rFonts w:hint="eastAsia" w:ascii="宋体" w:hAnsi="宋体" w:eastAsia="宋体" w:cs="宋体"/>
          <w:bCs/>
          <w:sz w:val="24"/>
        </w:rPr>
      </w:pPr>
      <w:r>
        <w:rPr>
          <w:rFonts w:hint="eastAsia" w:ascii="宋体" w:hAnsi="宋体" w:eastAsia="宋体" w:cs="宋体"/>
          <w:bCs/>
          <w:sz w:val="24"/>
        </w:rPr>
        <w:t>（2）开标一览表</w:t>
      </w:r>
    </w:p>
    <w:p>
      <w:pPr>
        <w:spacing w:line="360" w:lineRule="auto"/>
        <w:ind w:firstLine="480"/>
        <w:rPr>
          <w:rFonts w:hint="eastAsia" w:ascii="宋体" w:hAnsi="宋体" w:eastAsia="宋体" w:cs="宋体"/>
          <w:bCs/>
          <w:sz w:val="24"/>
        </w:rPr>
      </w:pPr>
      <w:r>
        <w:rPr>
          <w:rFonts w:hint="eastAsia" w:ascii="宋体" w:hAnsi="宋体" w:eastAsia="宋体" w:cs="宋体"/>
          <w:bCs/>
          <w:sz w:val="24"/>
        </w:rPr>
        <w:t>（3）法定代表人身份证明及授权书；</w:t>
      </w:r>
    </w:p>
    <w:p>
      <w:pPr>
        <w:spacing w:line="360" w:lineRule="auto"/>
        <w:ind w:firstLine="480"/>
        <w:rPr>
          <w:rFonts w:hint="eastAsia" w:ascii="宋体" w:hAnsi="宋体" w:eastAsia="宋体" w:cs="宋体"/>
          <w:bCs/>
          <w:sz w:val="24"/>
        </w:rPr>
      </w:pPr>
      <w:r>
        <w:rPr>
          <w:rFonts w:hint="eastAsia" w:ascii="宋体" w:hAnsi="宋体" w:eastAsia="宋体" w:cs="宋体"/>
          <w:bCs/>
          <w:sz w:val="24"/>
        </w:rPr>
        <w:t>（4）中小微企业声明函</w:t>
      </w:r>
    </w:p>
    <w:p>
      <w:pPr>
        <w:spacing w:line="360" w:lineRule="auto"/>
        <w:ind w:firstLine="480"/>
        <w:rPr>
          <w:rFonts w:hint="eastAsia" w:ascii="宋体" w:hAnsi="宋体" w:eastAsia="宋体" w:cs="宋体"/>
          <w:bCs/>
          <w:sz w:val="24"/>
        </w:rPr>
      </w:pPr>
      <w:r>
        <w:rPr>
          <w:rFonts w:hint="eastAsia" w:ascii="宋体" w:hAnsi="宋体" w:eastAsia="宋体" w:cs="宋体"/>
          <w:bCs/>
          <w:sz w:val="24"/>
        </w:rPr>
        <w:t>（5）资格审查资料</w:t>
      </w:r>
    </w:p>
    <w:p>
      <w:pPr>
        <w:spacing w:line="360" w:lineRule="auto"/>
        <w:ind w:firstLine="480"/>
        <w:rPr>
          <w:rFonts w:hint="eastAsia" w:ascii="宋体" w:hAnsi="宋体" w:eastAsia="宋体" w:cs="宋体"/>
          <w:bCs/>
          <w:sz w:val="24"/>
        </w:rPr>
      </w:pPr>
      <w:r>
        <w:rPr>
          <w:rFonts w:hint="eastAsia" w:ascii="宋体" w:hAnsi="宋体" w:eastAsia="宋体" w:cs="宋体"/>
          <w:bCs/>
          <w:sz w:val="24"/>
        </w:rPr>
        <w:t>（6）监理大纲；</w:t>
      </w:r>
    </w:p>
    <w:p>
      <w:pPr>
        <w:spacing w:line="360" w:lineRule="auto"/>
        <w:ind w:firstLine="480"/>
        <w:rPr>
          <w:rFonts w:hint="eastAsia" w:ascii="宋体" w:hAnsi="宋体" w:eastAsia="宋体" w:cs="宋体"/>
          <w:bCs/>
          <w:sz w:val="24"/>
        </w:rPr>
      </w:pPr>
      <w:r>
        <w:rPr>
          <w:rFonts w:hint="eastAsia" w:ascii="宋体" w:hAnsi="宋体" w:eastAsia="宋体" w:cs="宋体"/>
          <w:bCs/>
          <w:sz w:val="24"/>
        </w:rPr>
        <w:t>（7）其他资料</w:t>
      </w:r>
    </w:p>
    <w:p>
      <w:pPr>
        <w:pStyle w:val="12"/>
        <w:rPr>
          <w:sz w:val="20"/>
        </w:rPr>
      </w:pPr>
    </w:p>
    <w:p>
      <w:pPr>
        <w:pStyle w:val="12"/>
        <w:spacing w:before="1"/>
        <w:rPr>
          <w:sz w:val="20"/>
        </w:rPr>
      </w:pPr>
    </w:p>
    <w:p>
      <w:pPr>
        <w:widowControl/>
        <w:autoSpaceDE/>
        <w:autoSpaceDN/>
        <w:rPr>
          <w:b/>
          <w:sz w:val="36"/>
        </w:rPr>
      </w:pPr>
      <w:r>
        <w:rPr>
          <w:b/>
          <w:sz w:val="36"/>
        </w:rPr>
        <w:br w:type="page"/>
      </w:r>
    </w:p>
    <w:p>
      <w:pPr>
        <w:pStyle w:val="4"/>
        <w:bidi w:val="0"/>
        <w:jc w:val="center"/>
        <w:rPr>
          <w:sz w:val="36"/>
          <w:szCs w:val="36"/>
        </w:rPr>
      </w:pPr>
      <w:r>
        <w:rPr>
          <w:sz w:val="36"/>
          <w:szCs w:val="36"/>
        </w:rPr>
        <w:t>洛阳市工程建设项目廉洁自律告知书</w:t>
      </w:r>
    </w:p>
    <w:p>
      <w:pPr>
        <w:pStyle w:val="12"/>
        <w:spacing w:before="8"/>
        <w:rPr>
          <w:b/>
          <w:sz w:val="50"/>
        </w:rPr>
      </w:pPr>
    </w:p>
    <w:p>
      <w:pPr>
        <w:spacing w:line="427" w:lineRule="auto"/>
        <w:ind w:left="112" w:right="321" w:firstLine="420"/>
        <w:rPr>
          <w:sz w:val="21"/>
        </w:rPr>
      </w:pPr>
      <w:r>
        <w:rPr>
          <w:sz w:val="21"/>
        </w:rPr>
        <w:t>为维护公平竞争的市场秩序，从源头上有效防止和制止违法违纪行为和腐败问题的发生，促进工程项   目建设廉洁优质高效，现就有关事项告知如下：</w:t>
      </w:r>
    </w:p>
    <w:p>
      <w:pPr>
        <w:spacing w:before="2"/>
        <w:ind w:left="532"/>
        <w:rPr>
          <w:sz w:val="21"/>
        </w:rPr>
      </w:pPr>
      <w:r>
        <w:rPr>
          <w:sz w:val="21"/>
        </w:rPr>
        <w:t>一、严格遵守工程项目建设的法律、法规及规章制度；</w:t>
      </w:r>
    </w:p>
    <w:p>
      <w:pPr>
        <w:pStyle w:val="12"/>
        <w:spacing w:before="6"/>
        <w:rPr>
          <w:sz w:val="21"/>
        </w:rPr>
      </w:pPr>
    </w:p>
    <w:p>
      <w:pPr>
        <w:numPr>
          <w:ilvl w:val="0"/>
          <w:numId w:val="6"/>
        </w:numPr>
        <w:spacing w:line="427" w:lineRule="auto"/>
        <w:ind w:left="532" w:right="3733"/>
        <w:rPr>
          <w:sz w:val="21"/>
        </w:rPr>
      </w:pPr>
      <w:r>
        <w:rPr>
          <w:sz w:val="21"/>
        </w:rPr>
        <w:t>严格遵守职业道德，坚持公开、公正、公平、诚信的原则；</w:t>
      </w:r>
    </w:p>
    <w:p>
      <w:pPr>
        <w:numPr>
          <w:ilvl w:val="0"/>
          <w:numId w:val="6"/>
        </w:numPr>
        <w:spacing w:line="427" w:lineRule="auto"/>
        <w:ind w:left="532" w:right="3733"/>
        <w:rPr>
          <w:sz w:val="21"/>
        </w:rPr>
      </w:pPr>
      <w:r>
        <w:rPr>
          <w:sz w:val="21"/>
        </w:rPr>
        <w:t>严格执行工程建设项目合同文件，自觉按合同办事；</w:t>
      </w:r>
    </w:p>
    <w:p>
      <w:pPr>
        <w:spacing w:before="2" w:line="427" w:lineRule="auto"/>
        <w:ind w:left="112" w:right="288" w:firstLine="420"/>
        <w:rPr>
          <w:sz w:val="21"/>
        </w:rPr>
      </w:pPr>
      <w:r>
        <w:rPr>
          <w:sz w:val="21"/>
        </w:rPr>
        <w:t>四、严格执行工程建设项目招标投标、物资采购、设计变更、质量认证、安全生产等各项规定；  五、严禁为了获取不正当的利益而损害国家利益、社会公共利益或他人合法权益；</w:t>
      </w:r>
    </w:p>
    <w:p>
      <w:pPr>
        <w:spacing w:before="2" w:line="427" w:lineRule="auto"/>
        <w:ind w:left="112" w:right="288" w:firstLine="420"/>
        <w:rPr>
          <w:sz w:val="21"/>
        </w:rPr>
      </w:pPr>
      <w:r>
        <w:rPr>
          <w:sz w:val="21"/>
        </w:rPr>
        <w:t>六、严禁向项目建设单位和相关职能部门及有关人员赠送礼金、有价证券、贵重物品或回扣、好处费、   感谢费等，不直接或变相行贿搞商业贿赂；</w:t>
      </w:r>
    </w:p>
    <w:p>
      <w:pPr>
        <w:spacing w:before="2" w:line="427" w:lineRule="auto"/>
        <w:ind w:left="532" w:right="2682"/>
        <w:rPr>
          <w:sz w:val="21"/>
        </w:rPr>
      </w:pPr>
      <w:r>
        <w:rPr>
          <w:sz w:val="21"/>
        </w:rPr>
        <w:t>七、加强内部监督，并自觉接受有关职能部门对工程建设情况的监督检查；  八、严格执行廉洁从业各项规定，并向市委、市政府作出廉洁自律承诺。</w:t>
      </w:r>
    </w:p>
    <w:p>
      <w:pPr>
        <w:spacing w:before="2" w:line="427" w:lineRule="auto"/>
        <w:ind w:left="112" w:right="288" w:firstLine="420"/>
        <w:rPr>
          <w:sz w:val="21"/>
        </w:rPr>
      </w:pPr>
      <w:r>
        <w:rPr>
          <w:sz w:val="21"/>
        </w:rPr>
        <w:t>违反上述告知事项造成不良影响或严重后果的，按照国家有关法律法规予以处理；涉嫌犯罪的，移送司法机关依法追究刑事责任。</w:t>
      </w:r>
    </w:p>
    <w:p>
      <w:pPr>
        <w:pStyle w:val="12"/>
        <w:rPr>
          <w:sz w:val="20"/>
        </w:rPr>
      </w:pPr>
    </w:p>
    <w:p>
      <w:pPr>
        <w:pStyle w:val="12"/>
        <w:rPr>
          <w:sz w:val="20"/>
        </w:rPr>
      </w:pPr>
    </w:p>
    <w:p>
      <w:pPr>
        <w:pStyle w:val="12"/>
        <w:rPr>
          <w:sz w:val="20"/>
        </w:rPr>
      </w:pPr>
    </w:p>
    <w:p>
      <w:pPr>
        <w:pStyle w:val="12"/>
        <w:rPr>
          <w:sz w:val="20"/>
        </w:rPr>
      </w:pPr>
    </w:p>
    <w:p>
      <w:pPr>
        <w:pStyle w:val="12"/>
        <w:rPr>
          <w:sz w:val="20"/>
        </w:rPr>
      </w:pPr>
    </w:p>
    <w:p>
      <w:pPr>
        <w:spacing w:before="161"/>
        <w:ind w:left="532"/>
        <w:rPr>
          <w:b/>
          <w:sz w:val="21"/>
        </w:rPr>
      </w:pPr>
      <w:r>
        <w:rPr>
          <w:b/>
          <w:w w:val="95"/>
          <w:sz w:val="21"/>
        </w:rPr>
        <w:t>本人已认真阅读并充分理解以上条款，并代表所属单位严格遵守。</w:t>
      </w:r>
    </w:p>
    <w:p>
      <w:pPr>
        <w:pStyle w:val="12"/>
        <w:rPr>
          <w:b/>
          <w:sz w:val="20"/>
        </w:rPr>
      </w:pPr>
    </w:p>
    <w:p>
      <w:pPr>
        <w:pStyle w:val="12"/>
        <w:rPr>
          <w:b/>
          <w:sz w:val="20"/>
        </w:rPr>
      </w:pPr>
    </w:p>
    <w:p>
      <w:pPr>
        <w:tabs>
          <w:tab w:val="left" w:pos="3369"/>
          <w:tab w:val="left" w:pos="5992"/>
        </w:tabs>
        <w:spacing w:before="178"/>
        <w:ind w:left="638"/>
        <w:rPr>
          <w:sz w:val="21"/>
        </w:rPr>
      </w:pPr>
      <w:r>
        <w:rPr>
          <w:rFonts w:hint="eastAsia"/>
          <w:sz w:val="21"/>
        </w:rPr>
        <w:t>法定代表人</w:t>
      </w:r>
      <w:r>
        <w:rPr>
          <w:sz w:val="21"/>
        </w:rPr>
        <w:t>签名：</w:t>
      </w:r>
      <w:r>
        <w:rPr>
          <w:sz w:val="21"/>
        </w:rPr>
        <w:tab/>
      </w:r>
      <w:r>
        <w:rPr>
          <w:sz w:val="21"/>
        </w:rPr>
        <w:t>单位（盖章）：</w:t>
      </w:r>
      <w:r>
        <w:rPr>
          <w:sz w:val="21"/>
        </w:rPr>
        <w:tab/>
      </w:r>
      <w:r>
        <w:rPr>
          <w:sz w:val="21"/>
        </w:rPr>
        <w:t>日期：</w:t>
      </w:r>
    </w:p>
    <w:p>
      <w:pPr>
        <w:rPr>
          <w:sz w:val="21"/>
        </w:rPr>
        <w:sectPr>
          <w:pgSz w:w="11910" w:h="16840"/>
          <w:pgMar w:top="1100" w:right="740" w:bottom="1180" w:left="1020" w:header="902" w:footer="991" w:gutter="0"/>
          <w:cols w:space="720" w:num="1"/>
        </w:sectPr>
      </w:pPr>
    </w:p>
    <w:p>
      <w:pPr>
        <w:pStyle w:val="12"/>
        <w:spacing w:before="1"/>
        <w:rPr>
          <w:sz w:val="20"/>
        </w:rPr>
      </w:pPr>
    </w:p>
    <w:p>
      <w:pPr>
        <w:spacing w:before="49"/>
        <w:ind w:left="417" w:right="689"/>
        <w:jc w:val="center"/>
        <w:rPr>
          <w:rFonts w:ascii="楷体" w:hAnsi="楷体" w:eastAsia="楷体" w:cs="楷体"/>
          <w:b/>
          <w:bCs/>
          <w:sz w:val="36"/>
          <w:szCs w:val="36"/>
          <w:lang w:val="zh-CN" w:eastAsia="zh-CN" w:bidi="zh-CN"/>
        </w:rPr>
      </w:pPr>
      <w:r>
        <w:rPr>
          <w:rFonts w:ascii="楷体" w:hAnsi="楷体" w:eastAsia="楷体" w:cs="楷体"/>
          <w:b/>
          <w:bCs/>
          <w:sz w:val="36"/>
          <w:szCs w:val="36"/>
          <w:lang w:val="zh-CN" w:eastAsia="zh-CN" w:bidi="zh-CN"/>
        </w:rPr>
        <w:t>洛阳市工程建设项目廉洁自律承诺书</w:t>
      </w:r>
    </w:p>
    <w:p>
      <w:pPr>
        <w:pStyle w:val="12"/>
        <w:spacing w:before="8"/>
        <w:rPr>
          <w:b/>
          <w:sz w:val="50"/>
        </w:rPr>
      </w:pPr>
    </w:p>
    <w:p>
      <w:pPr>
        <w:tabs>
          <w:tab w:val="left" w:pos="2529"/>
          <w:tab w:val="left" w:pos="4838"/>
        </w:tabs>
        <w:spacing w:line="427" w:lineRule="auto"/>
        <w:ind w:left="112" w:right="372" w:firstLine="420"/>
        <w:jc w:val="both"/>
        <w:rPr>
          <w:sz w:val="21"/>
        </w:rPr>
      </w:pPr>
      <w:r>
        <w:rPr>
          <w:sz w:val="21"/>
        </w:rPr>
        <w:t>为切实加强工程建设领域的党风廉政建设</w:t>
      </w:r>
      <w:r>
        <w:rPr>
          <w:spacing w:val="-10"/>
          <w:sz w:val="21"/>
        </w:rPr>
        <w:t>，</w:t>
      </w:r>
      <w:r>
        <w:rPr>
          <w:sz w:val="21"/>
        </w:rPr>
        <w:t>督促相关单位严格遵守廉洁从业的有关规定</w:t>
      </w:r>
      <w:r>
        <w:rPr>
          <w:spacing w:val="-10"/>
          <w:sz w:val="21"/>
        </w:rPr>
        <w:t>，</w:t>
      </w:r>
      <w:r>
        <w:rPr>
          <w:sz w:val="21"/>
        </w:rPr>
        <w:t xml:space="preserve">有效预防和制止各种违法违纪行为和腐败问题的发生，确保把工程项目建设成为廉洁工程，促进经济社会科学发展，作为 </w:t>
      </w:r>
      <w:r>
        <w:rPr>
          <w:sz w:val="21"/>
          <w:u w:val="single"/>
        </w:rPr>
        <w:tab/>
      </w:r>
      <w:r>
        <w:rPr>
          <w:sz w:val="21"/>
        </w:rPr>
        <w:t>工程建设的</w:t>
      </w:r>
      <w:r>
        <w:rPr>
          <w:sz w:val="21"/>
          <w:u w:val="single"/>
        </w:rPr>
        <w:tab/>
      </w:r>
      <w:r>
        <w:rPr>
          <w:sz w:val="21"/>
        </w:rPr>
        <w:t>单位，特向市委、市政府作出如下庄严承诺：</w:t>
      </w:r>
    </w:p>
    <w:p>
      <w:pPr>
        <w:spacing w:before="3" w:line="427" w:lineRule="auto"/>
        <w:ind w:left="112" w:right="372" w:firstLine="420"/>
        <w:jc w:val="right"/>
        <w:rPr>
          <w:sz w:val="21"/>
          <w:szCs w:val="21"/>
        </w:rPr>
      </w:pPr>
      <w:r>
        <w:rPr>
          <w:sz w:val="21"/>
          <w:szCs w:val="21"/>
        </w:rPr>
        <w:t>一、严格遵守党纪国法和各项规定，将廉政建设和廉洁从业的各项要求贯彻始终，不插手和不干预工   程建设项目正常开展或干扰正常的监管和执法活动，廉洁自律，加强监督，保证将工程建成为廉洁工程。   二、严格遵守职业道德，坚持公开、公正、公平的原则，依法合规参与竞争，努力推进诚信建设，不</w:t>
      </w:r>
    </w:p>
    <w:p>
      <w:pPr>
        <w:spacing w:before="3" w:line="427" w:lineRule="auto"/>
        <w:ind w:right="372"/>
        <w:jc w:val="both"/>
        <w:rPr>
          <w:sz w:val="21"/>
          <w:szCs w:val="21"/>
        </w:rPr>
      </w:pPr>
      <w:r>
        <w:rPr>
          <w:sz w:val="21"/>
          <w:szCs w:val="21"/>
        </w:rPr>
        <w:t>从事任何不正当竞争和任何违法违纪的行为。</w:t>
      </w:r>
    </w:p>
    <w:p>
      <w:pPr>
        <w:spacing w:before="1" w:line="427" w:lineRule="auto"/>
        <w:ind w:left="112" w:right="390" w:firstLine="420"/>
        <w:jc w:val="both"/>
        <w:rPr>
          <w:sz w:val="21"/>
          <w:szCs w:val="21"/>
        </w:rPr>
      </w:pPr>
      <w:r>
        <w:rPr>
          <w:spacing w:val="-5"/>
          <w:sz w:val="21"/>
          <w:szCs w:val="21"/>
        </w:rPr>
        <w:t>三、</w:t>
      </w:r>
      <w:r>
        <w:rPr>
          <w:sz w:val="21"/>
        </w:rPr>
        <w:t>建立并落实党风廉政建设和廉洁从业责任制，健全行之有效的规章制度，在工程报批立项、招标投标、资金运用、物资采购、设计变更、预算决算、质量认证、工程验收和设计、施工、监理过程中不以   任何形式以权谋私、以工程谋私、索贿受贿，直接或变相行贿搞商业贿赂。</w:t>
      </w:r>
    </w:p>
    <w:p>
      <w:pPr>
        <w:spacing w:before="1" w:line="427" w:lineRule="auto"/>
        <w:ind w:left="112" w:right="390" w:firstLine="420"/>
        <w:jc w:val="both"/>
        <w:rPr>
          <w:sz w:val="21"/>
        </w:rPr>
      </w:pPr>
      <w:r>
        <w:rPr>
          <w:sz w:val="21"/>
        </w:rPr>
        <w:t>四、建立工程质量监管保证体系。严格按照国家各项相关法规和技术规范从事设计、施工、监理，确保工程设计、施工组织、质量监理全部依法合规。</w:t>
      </w:r>
    </w:p>
    <w:p>
      <w:pPr>
        <w:spacing w:before="1" w:line="427" w:lineRule="auto"/>
        <w:ind w:left="112" w:right="390" w:firstLine="420"/>
        <w:jc w:val="both"/>
        <w:rPr>
          <w:sz w:val="21"/>
        </w:rPr>
      </w:pPr>
      <w:r>
        <w:rPr>
          <w:sz w:val="21"/>
        </w:rPr>
        <w:t>五、建立安全生产监管保证体系。按照国家各项相关法律和技术规范，在工程建设中落实安全生产“三</w:t>
      </w:r>
      <w:r>
        <w:rPr>
          <w:rFonts w:hint="eastAsia"/>
          <w:sz w:val="21"/>
        </w:rPr>
        <w:t>个</w:t>
      </w:r>
      <w:r>
        <w:rPr>
          <w:sz w:val="21"/>
        </w:rPr>
        <w:t>同时”要求，确保施工人员和其他人员生命及人身安全，严防各类安全事故的发生。</w:t>
      </w:r>
    </w:p>
    <w:p>
      <w:pPr>
        <w:spacing w:before="1" w:line="427" w:lineRule="auto"/>
        <w:ind w:left="112" w:right="390" w:firstLine="420"/>
        <w:jc w:val="both"/>
        <w:rPr>
          <w:sz w:val="21"/>
        </w:rPr>
      </w:pPr>
      <w:r>
        <w:rPr>
          <w:sz w:val="21"/>
        </w:rPr>
        <w:t>六、遵守财经法规，厉行勤俭节约，杜绝铺张浪费，严格控制开支，最大限度地压缩工程费用，节约资金。</w:t>
      </w:r>
    </w:p>
    <w:p>
      <w:pPr>
        <w:spacing w:before="1" w:line="427" w:lineRule="auto"/>
        <w:ind w:left="112" w:right="390" w:firstLine="420"/>
        <w:jc w:val="both"/>
        <w:rPr>
          <w:sz w:val="21"/>
        </w:rPr>
      </w:pPr>
      <w:r>
        <w:rPr>
          <w:sz w:val="21"/>
        </w:rPr>
        <w:t>七、定期不定期地对工程建设中的廉政建设和廉洁从业情况进行内部监督检查，同时主动接受外部有关部门依法依纪的监督检查，及时发现和整改存在的各种问题。</w:t>
      </w:r>
    </w:p>
    <w:p>
      <w:pPr>
        <w:spacing w:before="1" w:line="427" w:lineRule="auto"/>
        <w:ind w:left="112" w:right="390" w:firstLine="420"/>
        <w:jc w:val="both"/>
        <w:rPr>
          <w:sz w:val="21"/>
        </w:rPr>
      </w:pPr>
      <w:r>
        <w:rPr>
          <w:sz w:val="21"/>
        </w:rPr>
        <w:t>八、如在工程建设中发生违法违纪行为和腐败问题，自愿接收党纪，政纪处理直至追究法律责任。</w:t>
      </w:r>
    </w:p>
    <w:p>
      <w:pPr>
        <w:pStyle w:val="12"/>
        <w:rPr>
          <w:sz w:val="20"/>
        </w:rPr>
      </w:pPr>
    </w:p>
    <w:p>
      <w:pPr>
        <w:pStyle w:val="12"/>
        <w:rPr>
          <w:sz w:val="20"/>
        </w:rPr>
      </w:pPr>
    </w:p>
    <w:p>
      <w:pPr>
        <w:spacing w:before="179"/>
        <w:ind w:left="5152"/>
        <w:rPr>
          <w:sz w:val="21"/>
        </w:rPr>
      </w:pPr>
      <w:r>
        <w:rPr>
          <w:sz w:val="21"/>
        </w:rPr>
        <w:t>承诺单位（盖章）：</w:t>
      </w:r>
    </w:p>
    <w:p>
      <w:pPr>
        <w:pStyle w:val="12"/>
        <w:spacing w:before="6"/>
        <w:rPr>
          <w:sz w:val="16"/>
        </w:rPr>
      </w:pPr>
    </w:p>
    <w:p>
      <w:pPr>
        <w:ind w:left="5152"/>
        <w:rPr>
          <w:sz w:val="21"/>
        </w:rPr>
      </w:pPr>
      <w:r>
        <w:rPr>
          <w:rFonts w:hint="eastAsia"/>
          <w:sz w:val="21"/>
        </w:rPr>
        <w:t>法定代表人</w:t>
      </w:r>
      <w:r>
        <w:rPr>
          <w:sz w:val="21"/>
        </w:rPr>
        <w:t>（签字或盖章）：</w:t>
      </w:r>
    </w:p>
    <w:p>
      <w:pPr>
        <w:pStyle w:val="12"/>
        <w:rPr>
          <w:sz w:val="20"/>
        </w:rPr>
      </w:pPr>
    </w:p>
    <w:p>
      <w:pPr>
        <w:pStyle w:val="12"/>
        <w:rPr>
          <w:sz w:val="20"/>
        </w:rPr>
      </w:pPr>
    </w:p>
    <w:p>
      <w:pPr>
        <w:tabs>
          <w:tab w:val="left" w:pos="736"/>
          <w:tab w:val="left" w:pos="1471"/>
        </w:tabs>
        <w:spacing w:before="178"/>
        <w:ind w:right="392"/>
        <w:jc w:val="right"/>
        <w:rPr>
          <w:sz w:val="21"/>
        </w:rPr>
      </w:pPr>
      <w:r>
        <w:rPr>
          <w:sz w:val="21"/>
        </w:rPr>
        <w:t>年</w:t>
      </w:r>
      <w:r>
        <w:rPr>
          <w:sz w:val="21"/>
        </w:rPr>
        <w:tab/>
      </w:r>
      <w:r>
        <w:rPr>
          <w:sz w:val="21"/>
        </w:rPr>
        <w:t>月</w:t>
      </w:r>
      <w:r>
        <w:rPr>
          <w:sz w:val="21"/>
        </w:rPr>
        <w:tab/>
      </w:r>
      <w:r>
        <w:rPr>
          <w:w w:val="95"/>
          <w:sz w:val="21"/>
        </w:rPr>
        <w:t>日</w:t>
      </w:r>
    </w:p>
    <w:p>
      <w:pPr>
        <w:jc w:val="right"/>
        <w:rPr>
          <w:sz w:val="21"/>
        </w:rPr>
        <w:sectPr>
          <w:pgSz w:w="11910" w:h="16840"/>
          <w:pgMar w:top="1100" w:right="740" w:bottom="1180" w:left="1020" w:header="902" w:footer="991" w:gutter="0"/>
          <w:cols w:space="720" w:num="1"/>
        </w:sectPr>
      </w:pPr>
    </w:p>
    <w:p>
      <w:pPr>
        <w:spacing w:before="49"/>
        <w:ind w:left="417" w:right="689"/>
        <w:jc w:val="both"/>
        <w:rPr>
          <w:rFonts w:ascii="楷体" w:hAnsi="楷体" w:eastAsia="楷体" w:cs="楷体"/>
          <w:b/>
          <w:bCs/>
          <w:sz w:val="36"/>
          <w:szCs w:val="36"/>
          <w:lang w:val="zh-CN" w:eastAsia="zh-CN" w:bidi="zh-CN"/>
        </w:rPr>
      </w:pPr>
      <w:bookmarkStart w:id="236" w:name="一、投标函"/>
      <w:bookmarkEnd w:id="236"/>
      <w:bookmarkStart w:id="237" w:name="二、谈判（报价）一览表"/>
      <w:bookmarkEnd w:id="237"/>
      <w:r>
        <w:rPr>
          <w:rFonts w:hint="eastAsia" w:ascii="楷体" w:hAnsi="楷体" w:eastAsia="楷体" w:cs="楷体"/>
          <w:b/>
          <w:bCs/>
          <w:sz w:val="36"/>
          <w:szCs w:val="36"/>
          <w:lang w:val="zh-CN" w:eastAsia="zh-CN" w:bidi="zh-CN"/>
        </w:rPr>
        <w:t>附件</w:t>
      </w:r>
      <w:r>
        <w:rPr>
          <w:rFonts w:ascii="楷体" w:hAnsi="楷体" w:eastAsia="楷体" w:cs="楷体"/>
          <w:b/>
          <w:bCs/>
          <w:sz w:val="36"/>
          <w:szCs w:val="36"/>
          <w:lang w:val="zh-CN" w:eastAsia="zh-CN" w:bidi="zh-CN"/>
        </w:rPr>
        <w:t>1</w:t>
      </w:r>
      <w:r>
        <w:rPr>
          <w:rFonts w:hint="eastAsia" w:ascii="楷体" w:hAnsi="楷体" w:eastAsia="楷体" w:cs="楷体"/>
          <w:b/>
          <w:bCs/>
          <w:sz w:val="36"/>
          <w:szCs w:val="36"/>
          <w:lang w:val="zh-CN" w:eastAsia="zh-CN" w:bidi="zh-CN"/>
        </w:rPr>
        <w:t>：</w:t>
      </w:r>
    </w:p>
    <w:p>
      <w:pPr>
        <w:spacing w:before="49"/>
        <w:ind w:left="417" w:right="689"/>
        <w:jc w:val="center"/>
        <w:rPr>
          <w:rFonts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响 应 函</w:t>
      </w:r>
    </w:p>
    <w:p>
      <w:pPr>
        <w:spacing w:line="276" w:lineRule="auto"/>
        <w:rPr>
          <w:rFonts w:ascii="宋体" w:hAnsi="宋体" w:eastAsia="宋体"/>
          <w:bCs/>
          <w:sz w:val="24"/>
        </w:rPr>
      </w:pPr>
      <w:r>
        <w:rPr>
          <w:rFonts w:hint="eastAsia" w:ascii="宋体" w:hAnsi="宋体" w:eastAsia="宋体"/>
          <w:bCs/>
          <w:sz w:val="24"/>
        </w:rPr>
        <w:t>致：</w:t>
      </w:r>
      <w:r>
        <w:rPr>
          <w:rFonts w:hint="eastAsia" w:ascii="宋体" w:hAnsi="宋体" w:eastAsia="宋体"/>
          <w:bCs/>
          <w:sz w:val="24"/>
          <w:u w:val="single"/>
        </w:rPr>
        <w:t>（招标人）</w:t>
      </w:r>
      <w:r>
        <w:rPr>
          <w:rFonts w:hint="eastAsia" w:ascii="宋体" w:hAnsi="宋体" w:eastAsia="宋体"/>
          <w:bCs/>
          <w:sz w:val="24"/>
        </w:rPr>
        <w:t>：</w:t>
      </w:r>
    </w:p>
    <w:p>
      <w:pPr>
        <w:spacing w:line="276" w:lineRule="auto"/>
        <w:ind w:firstLine="458" w:firstLineChars="200"/>
        <w:rPr>
          <w:rFonts w:ascii="宋体" w:hAnsi="宋体" w:eastAsia="宋体"/>
          <w:sz w:val="24"/>
        </w:rPr>
      </w:pPr>
      <w:r>
        <w:rPr>
          <w:rFonts w:hint="eastAsia" w:ascii="宋体" w:hAnsi="宋体" w:eastAsia="宋体"/>
          <w:sz w:val="24"/>
        </w:rPr>
        <w:t>根据贵方采购编号为</w:t>
      </w:r>
      <w:r>
        <w:rPr>
          <w:rFonts w:hint="eastAsia" w:ascii="宋体" w:hAnsi="宋体" w:eastAsia="宋体"/>
          <w:sz w:val="24"/>
          <w:u w:val="single"/>
        </w:rPr>
        <w:t xml:space="preserve">                项目名称  </w:t>
      </w:r>
      <w:r>
        <w:rPr>
          <w:rFonts w:hint="eastAsia" w:ascii="宋体" w:hAnsi="宋体" w:eastAsia="宋体"/>
          <w:sz w:val="24"/>
        </w:rPr>
        <w:t>的竞争性磋商公告，我方签字代表经正式授权并代表我方提交响应文件</w:t>
      </w:r>
      <w:r>
        <w:rPr>
          <w:rFonts w:hint="eastAsia" w:ascii="宋体" w:hAnsi="宋体" w:eastAsia="宋体"/>
          <w:bCs/>
          <w:sz w:val="24"/>
        </w:rPr>
        <w:t>正、副本</w:t>
      </w:r>
      <w:r>
        <w:rPr>
          <w:rFonts w:hint="eastAsia" w:ascii="宋体" w:hAnsi="宋体" w:eastAsia="宋体"/>
          <w:sz w:val="24"/>
        </w:rPr>
        <w:t>及相关资料，并对之负法律责任。</w:t>
      </w:r>
    </w:p>
    <w:p>
      <w:pPr>
        <w:spacing w:line="276" w:lineRule="auto"/>
        <w:ind w:firstLine="458" w:firstLineChars="200"/>
        <w:rPr>
          <w:rFonts w:ascii="宋体" w:hAnsi="宋体" w:eastAsia="宋体"/>
          <w:sz w:val="24"/>
        </w:rPr>
      </w:pPr>
      <w:r>
        <w:rPr>
          <w:rFonts w:hint="eastAsia" w:ascii="宋体" w:hAnsi="宋体" w:eastAsia="宋体"/>
          <w:sz w:val="24"/>
        </w:rPr>
        <w:t xml:space="preserve">    据此函，签字代表宣布同意如下：</w:t>
      </w:r>
    </w:p>
    <w:p>
      <w:pPr>
        <w:spacing w:line="276" w:lineRule="auto"/>
        <w:ind w:firstLine="458" w:firstLineChars="200"/>
        <w:rPr>
          <w:rFonts w:ascii="宋体" w:hAnsi="宋体" w:eastAsia="宋体"/>
          <w:sz w:val="24"/>
        </w:rPr>
      </w:pPr>
      <w:r>
        <w:rPr>
          <w:rFonts w:hint="eastAsia" w:ascii="宋体" w:hAnsi="宋体" w:eastAsia="宋体"/>
          <w:sz w:val="24"/>
        </w:rPr>
        <w:t>1、依法依规、诚实守信、公平竞争参加本次磋商活动。</w:t>
      </w:r>
    </w:p>
    <w:p>
      <w:pPr>
        <w:spacing w:line="276" w:lineRule="auto"/>
        <w:ind w:firstLine="458" w:firstLineChars="200"/>
        <w:rPr>
          <w:rFonts w:ascii="宋体" w:hAnsi="宋体" w:eastAsia="宋体"/>
          <w:sz w:val="24"/>
        </w:rPr>
      </w:pPr>
      <w:r>
        <w:rPr>
          <w:rFonts w:hint="eastAsia" w:ascii="宋体" w:hAnsi="宋体" w:eastAsia="宋体"/>
          <w:sz w:val="24"/>
        </w:rPr>
        <w:t>2、我方保证响应文件中的所有资料均为真实、准确、完整、有效的，且不具有任何误导性，并无条件接受采购人或采购代理机构对其中任何资料进行核实的要求。核对发现有虚假、不一致或我方无正当理由不按要求提供原件的，我方承诺响应文件无效并自愿承担一切法律责任。</w:t>
      </w:r>
    </w:p>
    <w:p>
      <w:pPr>
        <w:spacing w:line="276" w:lineRule="auto"/>
        <w:ind w:firstLine="458" w:firstLineChars="200"/>
        <w:rPr>
          <w:rFonts w:ascii="宋体" w:hAnsi="宋体" w:eastAsia="宋体"/>
          <w:sz w:val="24"/>
        </w:rPr>
      </w:pPr>
      <w:r>
        <w:rPr>
          <w:rFonts w:hint="eastAsia" w:ascii="宋体" w:hAnsi="宋体" w:eastAsia="宋体"/>
          <w:sz w:val="24"/>
        </w:rPr>
        <w:t>3、我方已认真仔细研究磋商文件全部内容，包括修改文件以及全部参考资料和有关附件。我们完全理解并同意放弃对这方面有不明及误解的权力。</w:t>
      </w:r>
    </w:p>
    <w:p>
      <w:pPr>
        <w:spacing w:line="276" w:lineRule="auto"/>
        <w:ind w:firstLine="458" w:firstLineChars="200"/>
        <w:rPr>
          <w:rFonts w:ascii="宋体" w:hAnsi="宋体" w:eastAsia="宋体"/>
          <w:sz w:val="24"/>
        </w:rPr>
      </w:pPr>
      <w:r>
        <w:rPr>
          <w:rFonts w:hint="eastAsia" w:ascii="宋体" w:hAnsi="宋体" w:eastAsia="宋体"/>
          <w:sz w:val="24"/>
        </w:rPr>
        <w:t>4、根据本工程磋商文件，我单位经考察现场并研究上述工程磋商文件的委托人要求、供应商须知、合同条款、图纸和其他有关文件后，我方愿意接受上述工程磋商文件及委托人要求、供应商须知、合同条款、图纸的条件承包上述工程的全部监理工作（详见报价一览表），并接受本次采购的付款方式。</w:t>
      </w:r>
    </w:p>
    <w:p>
      <w:pPr>
        <w:spacing w:line="276" w:lineRule="auto"/>
        <w:ind w:firstLine="458" w:firstLineChars="200"/>
        <w:rPr>
          <w:rFonts w:ascii="宋体" w:hAnsi="宋体" w:eastAsia="宋体"/>
          <w:sz w:val="24"/>
        </w:rPr>
      </w:pPr>
      <w:r>
        <w:rPr>
          <w:rFonts w:hint="eastAsia" w:ascii="宋体" w:hAnsi="宋体" w:eastAsia="宋体"/>
          <w:sz w:val="24"/>
        </w:rPr>
        <w:t>5、我方同意本响应文件在磋商文件规定的有效期内对多方的约束力，并且随时可能按此响应文件成交。</w:t>
      </w:r>
    </w:p>
    <w:p>
      <w:pPr>
        <w:spacing w:line="276" w:lineRule="auto"/>
        <w:ind w:firstLine="458" w:firstLineChars="200"/>
        <w:rPr>
          <w:rFonts w:ascii="宋体" w:hAnsi="宋体" w:eastAsia="宋体"/>
          <w:sz w:val="24"/>
        </w:rPr>
      </w:pPr>
      <w:r>
        <w:rPr>
          <w:rFonts w:hint="eastAsia" w:ascii="宋体" w:hAnsi="宋体" w:eastAsia="宋体"/>
          <w:sz w:val="24"/>
        </w:rPr>
        <w:t>6、本响应文件有效期为提交响应文件截止时间起90天。如果我方的行为符合本磋商文件规定的磋商保证金不予退还情形的，我方同意不退还我方提交的磋商保证金。</w:t>
      </w:r>
    </w:p>
    <w:p>
      <w:pPr>
        <w:spacing w:line="276" w:lineRule="auto"/>
        <w:ind w:firstLine="458" w:firstLineChars="200"/>
        <w:rPr>
          <w:rFonts w:ascii="宋体" w:hAnsi="宋体" w:eastAsia="宋体"/>
          <w:sz w:val="24"/>
        </w:rPr>
      </w:pPr>
      <w:r>
        <w:rPr>
          <w:rFonts w:hint="eastAsia" w:ascii="宋体" w:hAnsi="宋体" w:eastAsia="宋体"/>
          <w:sz w:val="24"/>
        </w:rPr>
        <w:t>7、除非另外达成协议并生效，成交通知书和响应文件将构成约束我们双方的合同内容。</w:t>
      </w:r>
    </w:p>
    <w:p>
      <w:pPr>
        <w:spacing w:line="276" w:lineRule="auto"/>
        <w:ind w:firstLine="458" w:firstLineChars="200"/>
        <w:rPr>
          <w:rFonts w:ascii="宋体" w:hAnsi="宋体" w:eastAsia="宋体"/>
          <w:sz w:val="24"/>
        </w:rPr>
      </w:pPr>
      <w:r>
        <w:rPr>
          <w:rFonts w:hint="eastAsia" w:ascii="宋体" w:hAnsi="宋体" w:eastAsia="宋体"/>
          <w:sz w:val="24"/>
        </w:rPr>
        <w:t>8、如果我方为成交供应商，我方保证在接到采购人的通知后立刻开工，并在规定的工期内竣工并移交整个工程。</w:t>
      </w:r>
    </w:p>
    <w:p>
      <w:pPr>
        <w:spacing w:line="276" w:lineRule="auto"/>
        <w:ind w:firstLine="458" w:firstLineChars="200"/>
        <w:rPr>
          <w:rFonts w:ascii="宋体" w:hAnsi="宋体" w:eastAsia="宋体"/>
          <w:bCs/>
          <w:sz w:val="24"/>
        </w:rPr>
      </w:pPr>
      <w:r>
        <w:rPr>
          <w:rFonts w:hint="eastAsia" w:ascii="宋体" w:hAnsi="宋体" w:eastAsia="宋体"/>
          <w:bCs/>
          <w:sz w:val="24"/>
        </w:rPr>
        <w:t xml:space="preserve">    9、如果我方被确定为成交供应商，我方愿意在见证合同时按磋商文件的规定交纳履约保证金。我方如无不可抗力，放弃成交资格，或者未履行磋商文件、响应文件和合同条款的，一经查实，我方愿意赔偿由此而造成的一切损失，并同意接受按相关法律法规和磋商文件的相关要求对我方进行的处罚。</w:t>
      </w:r>
    </w:p>
    <w:p>
      <w:pPr>
        <w:spacing w:line="276" w:lineRule="auto"/>
        <w:rPr>
          <w:rFonts w:ascii="宋体" w:hAnsi="宋体" w:eastAsia="宋体"/>
          <w:bCs/>
          <w:sz w:val="24"/>
        </w:rPr>
      </w:pPr>
      <w:r>
        <w:rPr>
          <w:rFonts w:hint="eastAsia" w:ascii="宋体" w:hAnsi="宋体" w:eastAsia="宋体"/>
          <w:sz w:val="24"/>
        </w:rPr>
        <w:t xml:space="preserve">    10、我方同意提供按照贵方可能要求的与其磋商有关的一切数据或资料，理解贵方不一定要接受最低价的响应文件或收到的任何响应文件。</w:t>
      </w:r>
    </w:p>
    <w:p>
      <w:pPr>
        <w:spacing w:line="276" w:lineRule="auto"/>
        <w:ind w:firstLine="458" w:firstLineChars="200"/>
        <w:rPr>
          <w:rFonts w:ascii="宋体" w:hAnsi="宋体" w:eastAsia="宋体"/>
          <w:sz w:val="24"/>
        </w:rPr>
      </w:pPr>
      <w:r>
        <w:rPr>
          <w:rFonts w:hint="eastAsia" w:ascii="宋体" w:hAnsi="宋体" w:eastAsia="宋体"/>
          <w:sz w:val="24"/>
        </w:rPr>
        <w:t>11、</w:t>
      </w:r>
      <w:r>
        <w:rPr>
          <w:rFonts w:ascii="宋体" w:hAnsi="宋体" w:eastAsia="宋体"/>
          <w:sz w:val="24"/>
        </w:rPr>
        <w:t>我方在此声明，所提交的响应文件及有关资料内容完整、真实和准确，且不存在第</w:t>
      </w:r>
      <w:r>
        <w:rPr>
          <w:rFonts w:hint="eastAsia" w:ascii="宋体" w:hAnsi="宋体" w:eastAsia="宋体"/>
          <w:sz w:val="24"/>
        </w:rPr>
        <w:t>二</w:t>
      </w:r>
      <w:r>
        <w:rPr>
          <w:rFonts w:ascii="宋体" w:hAnsi="宋体" w:eastAsia="宋体"/>
          <w:sz w:val="24"/>
        </w:rPr>
        <w:t xml:space="preserve">章“供应商须知”第 1.4.3 </w:t>
      </w:r>
      <w:r>
        <w:rPr>
          <w:rFonts w:hint="eastAsia" w:ascii="宋体" w:hAnsi="宋体" w:eastAsia="宋体"/>
          <w:sz w:val="24"/>
        </w:rPr>
        <w:t>、1.4.4</w:t>
      </w:r>
      <w:r>
        <w:rPr>
          <w:rFonts w:ascii="宋体" w:hAnsi="宋体" w:eastAsia="宋体"/>
          <w:sz w:val="24"/>
        </w:rPr>
        <w:t>项规定的任何一种情形。</w:t>
      </w:r>
    </w:p>
    <w:p>
      <w:pPr>
        <w:spacing w:line="276" w:lineRule="auto"/>
        <w:ind w:firstLine="458" w:firstLineChars="200"/>
        <w:rPr>
          <w:rFonts w:ascii="宋体" w:hAnsi="宋体" w:eastAsia="宋体"/>
          <w:bCs/>
          <w:sz w:val="24"/>
        </w:rPr>
      </w:pPr>
      <w:r>
        <w:rPr>
          <w:rFonts w:ascii="宋体" w:hAnsi="宋体" w:eastAsia="宋体"/>
          <w:bCs/>
          <w:sz w:val="24"/>
        </w:rPr>
        <w:t>1</w:t>
      </w:r>
      <w:r>
        <w:rPr>
          <w:rFonts w:hint="eastAsia" w:ascii="宋体" w:hAnsi="宋体" w:eastAsia="宋体"/>
          <w:bCs/>
          <w:sz w:val="24"/>
        </w:rPr>
        <w:t>2、我方决不提供虚假资料谋取成交，决不采取不正当手段诋毁、排挤其他供应商，决不与采购人、采购代理机构或者其它供应商恶意串通，决不向采购人、代理机构工作人员和评委进行商业贿赂，决不拒绝相关监管部门的监督检查，不向相关监管部门提供虚假情况，如有违反政府采购法律法规的行为，无条件接受贵方及相关监管部门的依法依规处罚。</w:t>
      </w:r>
    </w:p>
    <w:p>
      <w:pPr>
        <w:spacing w:line="276" w:lineRule="auto"/>
        <w:ind w:firstLine="458" w:firstLineChars="200"/>
        <w:rPr>
          <w:rFonts w:ascii="宋体" w:hAnsi="宋体" w:eastAsia="宋体"/>
          <w:sz w:val="24"/>
        </w:rPr>
      </w:pPr>
      <w:r>
        <w:rPr>
          <w:rFonts w:ascii="宋体" w:hAnsi="宋体" w:eastAsia="宋体"/>
          <w:sz w:val="24"/>
        </w:rPr>
        <w:t>1</w:t>
      </w:r>
      <w:r>
        <w:rPr>
          <w:rFonts w:hint="eastAsia" w:ascii="宋体" w:hAnsi="宋体" w:eastAsia="宋体"/>
          <w:sz w:val="24"/>
        </w:rPr>
        <w:t>3、与本采购活动有关的一切正式函件往来请寄：</w:t>
      </w:r>
    </w:p>
    <w:p>
      <w:pPr>
        <w:spacing w:line="276" w:lineRule="auto"/>
        <w:ind w:firstLine="458" w:firstLineChars="200"/>
        <w:rPr>
          <w:rFonts w:ascii="宋体" w:hAnsi="宋体" w:eastAsia="宋体"/>
          <w:sz w:val="24"/>
        </w:rPr>
      </w:pPr>
      <w:r>
        <w:rPr>
          <w:rFonts w:hint="eastAsia" w:ascii="宋体" w:hAnsi="宋体" w:eastAsia="宋体"/>
          <w:sz w:val="24"/>
        </w:rPr>
        <w:t xml:space="preserve">  地址：                邮政编码：</w:t>
      </w:r>
    </w:p>
    <w:p>
      <w:pPr>
        <w:spacing w:line="276" w:lineRule="auto"/>
        <w:ind w:firstLine="458" w:firstLineChars="200"/>
        <w:rPr>
          <w:rFonts w:ascii="宋体" w:hAnsi="宋体" w:eastAsia="宋体"/>
          <w:sz w:val="24"/>
        </w:rPr>
      </w:pPr>
      <w:r>
        <w:rPr>
          <w:rFonts w:hint="eastAsia" w:ascii="宋体" w:hAnsi="宋体" w:eastAsia="宋体"/>
          <w:sz w:val="24"/>
        </w:rPr>
        <w:t xml:space="preserve">  电话：                传真：</w:t>
      </w:r>
    </w:p>
    <w:p>
      <w:pPr>
        <w:spacing w:line="276" w:lineRule="auto"/>
        <w:ind w:firstLine="458" w:firstLineChars="200"/>
        <w:rPr>
          <w:rFonts w:ascii="宋体" w:hAnsi="宋体" w:eastAsia="宋体"/>
          <w:sz w:val="24"/>
        </w:rPr>
      </w:pPr>
    </w:p>
    <w:p>
      <w:pPr>
        <w:spacing w:line="276" w:lineRule="auto"/>
        <w:ind w:firstLine="458" w:firstLineChars="200"/>
        <w:rPr>
          <w:rFonts w:ascii="宋体" w:hAnsi="宋体" w:eastAsia="宋体"/>
          <w:sz w:val="24"/>
        </w:rPr>
      </w:pPr>
      <w:r>
        <w:rPr>
          <w:rFonts w:hint="eastAsia" w:ascii="宋体" w:hAnsi="宋体" w:eastAsia="宋体"/>
          <w:sz w:val="24"/>
        </w:rPr>
        <w:t>供应商名称（公章）：</w:t>
      </w:r>
    </w:p>
    <w:p>
      <w:pPr>
        <w:spacing w:line="276" w:lineRule="auto"/>
        <w:ind w:firstLine="458" w:firstLineChars="200"/>
        <w:rPr>
          <w:rFonts w:ascii="宋体" w:hAnsi="宋体" w:eastAsia="宋体"/>
          <w:sz w:val="24"/>
        </w:rPr>
      </w:pPr>
      <w:r>
        <w:rPr>
          <w:rFonts w:hint="eastAsia" w:ascii="宋体" w:hAnsi="宋体" w:eastAsia="宋体"/>
          <w:sz w:val="24"/>
        </w:rPr>
        <w:t xml:space="preserve">供应商法定代表人（签字或盖章）：                 </w:t>
      </w:r>
    </w:p>
    <w:p>
      <w:pPr>
        <w:spacing w:line="276" w:lineRule="auto"/>
        <w:ind w:firstLine="458" w:firstLineChars="200"/>
        <w:rPr>
          <w:rFonts w:ascii="宋体" w:hAnsi="宋体" w:eastAsia="宋体"/>
          <w:sz w:val="24"/>
        </w:rPr>
      </w:pPr>
      <w:r>
        <w:rPr>
          <w:rFonts w:hint="eastAsia" w:ascii="宋体" w:hAnsi="宋体" w:eastAsia="宋体"/>
          <w:sz w:val="24"/>
        </w:rPr>
        <w:t>供应商代表（签字或盖章）：</w:t>
      </w:r>
    </w:p>
    <w:p>
      <w:pPr>
        <w:spacing w:line="276" w:lineRule="auto"/>
        <w:ind w:firstLine="458" w:firstLineChars="200"/>
        <w:rPr>
          <w:rFonts w:ascii="宋体" w:hAnsi="宋体" w:eastAsia="宋体"/>
          <w:sz w:val="24"/>
        </w:rPr>
      </w:pPr>
      <w:r>
        <w:rPr>
          <w:rFonts w:hint="eastAsia" w:ascii="宋体" w:hAnsi="宋体" w:eastAsia="宋体"/>
          <w:sz w:val="24"/>
        </w:rPr>
        <w:t>日期：</w:t>
      </w:r>
    </w:p>
    <w:p>
      <w:pPr>
        <w:spacing w:line="276" w:lineRule="auto"/>
        <w:ind w:firstLine="458" w:firstLineChars="200"/>
        <w:rPr>
          <w:rFonts w:ascii="宋体" w:hAnsi="宋体" w:eastAsia="宋体"/>
          <w:sz w:val="24"/>
        </w:rPr>
      </w:pPr>
      <w:r>
        <w:rPr>
          <w:rFonts w:hint="eastAsia" w:ascii="宋体" w:hAnsi="宋体" w:eastAsia="宋体"/>
          <w:sz w:val="24"/>
        </w:rPr>
        <w:t>本供应商承诺：以上地址等信息为邮寄函件的真实有效准确信息，收件人为法定代表人或供应商代表。如我方对往来函件拒收，邮寄方可视为已送达，由此造成的一切后果由本供应商承担。</w:t>
      </w:r>
    </w:p>
    <w:p>
      <w:pPr>
        <w:spacing w:line="276" w:lineRule="auto"/>
        <w:ind w:firstLine="458" w:firstLineChars="200"/>
        <w:rPr>
          <w:rFonts w:ascii="宋体" w:hAnsi="宋体" w:eastAsia="宋体"/>
          <w:sz w:val="24"/>
        </w:rPr>
      </w:pPr>
      <w:r>
        <w:rPr>
          <w:rFonts w:hint="eastAsia" w:ascii="宋体" w:hAnsi="宋体" w:eastAsia="宋体"/>
          <w:sz w:val="24"/>
        </w:rPr>
        <w:t>注：除可填报内容外，对本响应函内容的任何实质性修改将被视为非实质性响应，从而导致该响应文件被拒绝。</w:t>
      </w:r>
    </w:p>
    <w:p>
      <w:pPr>
        <w:widowControl/>
        <w:autoSpaceDE/>
        <w:autoSpaceDN/>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附件2：</w:t>
      </w: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开标一览表</w:t>
      </w:r>
    </w:p>
    <w:tbl>
      <w:tblPr>
        <w:tblStyle w:val="21"/>
        <w:tblW w:w="9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7"/>
        <w:gridCol w:w="7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项目名称</w:t>
            </w:r>
          </w:p>
        </w:tc>
        <w:tc>
          <w:tcPr>
            <w:tcW w:w="7033" w:type="dxa"/>
            <w:vAlign w:val="center"/>
          </w:tcPr>
          <w:p>
            <w:pPr>
              <w:spacing w:line="276" w:lineRule="auto"/>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47" w:type="dxa"/>
            <w:vAlign w:val="center"/>
          </w:tcPr>
          <w:p>
            <w:pPr>
              <w:spacing w:line="276" w:lineRule="auto"/>
              <w:rPr>
                <w:rFonts w:hint="eastAsia" w:ascii="宋体" w:hAnsi="宋体" w:eastAsia="宋体"/>
                <w:color w:val="auto"/>
                <w:sz w:val="24"/>
                <w:lang w:eastAsia="zh-CN"/>
              </w:rPr>
            </w:pPr>
            <w:r>
              <w:rPr>
                <w:rFonts w:hint="eastAsia" w:ascii="宋体" w:hAnsi="宋体" w:eastAsia="宋体"/>
                <w:color w:val="auto"/>
                <w:sz w:val="24"/>
                <w:lang w:eastAsia="zh-CN"/>
              </w:rPr>
              <w:t>磋商报价（元）</w:t>
            </w:r>
          </w:p>
        </w:tc>
        <w:tc>
          <w:tcPr>
            <w:tcW w:w="7033" w:type="dxa"/>
          </w:tcPr>
          <w:p>
            <w:pPr>
              <w:spacing w:line="276" w:lineRule="auto"/>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047" w:type="dxa"/>
            <w:vAlign w:val="center"/>
          </w:tcPr>
          <w:p>
            <w:pPr>
              <w:spacing w:line="276" w:lineRule="auto"/>
              <w:rPr>
                <w:rFonts w:hint="eastAsia" w:ascii="宋体" w:hAnsi="宋体" w:eastAsia="宋体"/>
                <w:color w:val="auto"/>
                <w:sz w:val="24"/>
                <w:lang w:eastAsia="zh-CN"/>
              </w:rPr>
            </w:pPr>
            <w:r>
              <w:rPr>
                <w:rFonts w:hint="eastAsia" w:ascii="宋体" w:hAnsi="宋体" w:eastAsia="宋体"/>
                <w:color w:val="auto"/>
                <w:sz w:val="24"/>
                <w:lang w:eastAsia="zh-CN"/>
              </w:rPr>
              <w:t>费率（</w:t>
            </w:r>
            <w:r>
              <w:rPr>
                <w:rFonts w:hint="eastAsia" w:ascii="宋体" w:hAnsi="宋体" w:eastAsia="宋体"/>
                <w:color w:val="auto"/>
                <w:sz w:val="24"/>
                <w:lang w:val="en-US" w:eastAsia="zh-CN"/>
              </w:rPr>
              <w:t>%</w:t>
            </w:r>
            <w:r>
              <w:rPr>
                <w:rFonts w:hint="eastAsia" w:ascii="宋体" w:hAnsi="宋体" w:eastAsia="宋体"/>
                <w:color w:val="auto"/>
                <w:sz w:val="24"/>
                <w:lang w:eastAsia="zh-CN"/>
              </w:rPr>
              <w:t>）</w:t>
            </w:r>
          </w:p>
        </w:tc>
        <w:tc>
          <w:tcPr>
            <w:tcW w:w="7033" w:type="dxa"/>
          </w:tcPr>
          <w:p>
            <w:pPr>
              <w:spacing w:line="276" w:lineRule="auto"/>
              <w:rPr>
                <w:rFonts w:ascii="宋体" w:hAnsi="宋体" w:eastAsia="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监理服务期限</w:t>
            </w:r>
          </w:p>
        </w:tc>
        <w:tc>
          <w:tcPr>
            <w:tcW w:w="7033" w:type="dxa"/>
            <w:vAlign w:val="center"/>
          </w:tcPr>
          <w:p>
            <w:pPr>
              <w:spacing w:line="276"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质量承诺</w:t>
            </w:r>
          </w:p>
        </w:tc>
        <w:tc>
          <w:tcPr>
            <w:tcW w:w="7033" w:type="dxa"/>
            <w:vAlign w:val="center"/>
          </w:tcPr>
          <w:p>
            <w:pPr>
              <w:spacing w:line="276"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安全目标</w:t>
            </w:r>
          </w:p>
        </w:tc>
        <w:tc>
          <w:tcPr>
            <w:tcW w:w="7033" w:type="dxa"/>
            <w:vAlign w:val="center"/>
          </w:tcPr>
          <w:p>
            <w:pPr>
              <w:spacing w:line="276" w:lineRule="auto"/>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项目总监理</w:t>
            </w:r>
          </w:p>
          <w:p>
            <w:pPr>
              <w:spacing w:line="276" w:lineRule="auto"/>
              <w:rPr>
                <w:rFonts w:ascii="宋体" w:hAnsi="宋体" w:eastAsia="宋体"/>
                <w:sz w:val="24"/>
              </w:rPr>
            </w:pPr>
            <w:r>
              <w:rPr>
                <w:rFonts w:hint="eastAsia" w:ascii="宋体" w:hAnsi="宋体" w:eastAsia="宋体"/>
                <w:sz w:val="24"/>
              </w:rPr>
              <w:t>工程师</w:t>
            </w:r>
          </w:p>
        </w:tc>
        <w:tc>
          <w:tcPr>
            <w:tcW w:w="7033" w:type="dxa"/>
            <w:vAlign w:val="center"/>
          </w:tcPr>
          <w:p>
            <w:pPr>
              <w:spacing w:line="276" w:lineRule="auto"/>
              <w:rPr>
                <w:rFonts w:ascii="宋体" w:hAnsi="宋体" w:eastAsia="宋体"/>
                <w:sz w:val="24"/>
              </w:rPr>
            </w:pPr>
            <w:r>
              <w:rPr>
                <w:rFonts w:hint="eastAsia" w:ascii="宋体" w:hAnsi="宋体" w:eastAsia="宋体"/>
                <w:sz w:val="24"/>
              </w:rPr>
              <w:t>姓名：</w:t>
            </w:r>
          </w:p>
          <w:p>
            <w:pPr>
              <w:spacing w:line="276" w:lineRule="auto"/>
              <w:rPr>
                <w:rFonts w:ascii="宋体" w:hAnsi="宋体" w:eastAsia="宋体"/>
                <w:sz w:val="24"/>
              </w:rPr>
            </w:pPr>
            <w:r>
              <w:rPr>
                <w:rFonts w:hint="eastAsia" w:ascii="宋体" w:hAnsi="宋体" w:eastAsia="宋体"/>
                <w:sz w:val="24"/>
              </w:rPr>
              <w:t>监理工程师证书编号：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2047" w:type="dxa"/>
            <w:vAlign w:val="center"/>
          </w:tcPr>
          <w:p>
            <w:pPr>
              <w:spacing w:line="276" w:lineRule="auto"/>
              <w:rPr>
                <w:rFonts w:ascii="宋体" w:hAnsi="宋体" w:eastAsia="宋体"/>
                <w:sz w:val="24"/>
              </w:rPr>
            </w:pPr>
            <w:r>
              <w:rPr>
                <w:rFonts w:hint="eastAsia" w:ascii="宋体" w:hAnsi="宋体" w:eastAsia="宋体"/>
                <w:sz w:val="24"/>
              </w:rPr>
              <w:t>付款方式是否响应磋商文件要求</w:t>
            </w:r>
          </w:p>
        </w:tc>
        <w:tc>
          <w:tcPr>
            <w:tcW w:w="7033" w:type="dxa"/>
            <w:vAlign w:val="center"/>
          </w:tcPr>
          <w:p>
            <w:pPr>
              <w:spacing w:line="276" w:lineRule="auto"/>
              <w:rPr>
                <w:rFonts w:ascii="宋体" w:hAnsi="宋体" w:eastAsia="宋体"/>
                <w:sz w:val="24"/>
              </w:rPr>
            </w:pPr>
          </w:p>
        </w:tc>
      </w:tr>
    </w:tbl>
    <w:p>
      <w:pPr>
        <w:spacing w:line="276" w:lineRule="auto"/>
        <w:ind w:firstLine="538" w:firstLineChars="200"/>
        <w:rPr>
          <w:rFonts w:ascii="宋体" w:hAnsi="宋体" w:eastAsia="宋体"/>
          <w:sz w:val="28"/>
          <w:szCs w:val="28"/>
        </w:rPr>
      </w:pPr>
    </w:p>
    <w:p>
      <w:pPr>
        <w:spacing w:line="276" w:lineRule="auto"/>
        <w:ind w:firstLine="458" w:firstLineChars="200"/>
        <w:rPr>
          <w:rFonts w:ascii="宋体" w:hAnsi="宋体" w:eastAsia="宋体"/>
          <w:sz w:val="24"/>
        </w:rPr>
      </w:pPr>
      <w:r>
        <w:rPr>
          <w:rFonts w:hint="eastAsia" w:ascii="宋体" w:hAnsi="宋体" w:eastAsia="宋体"/>
          <w:sz w:val="24"/>
        </w:rPr>
        <w:t xml:space="preserve">供应商（盖章）： </w:t>
      </w:r>
    </w:p>
    <w:p>
      <w:pPr>
        <w:spacing w:line="276" w:lineRule="auto"/>
        <w:ind w:firstLine="458" w:firstLineChars="200"/>
        <w:rPr>
          <w:rFonts w:ascii="宋体" w:hAnsi="宋体" w:eastAsia="宋体"/>
          <w:sz w:val="24"/>
        </w:rPr>
      </w:pPr>
      <w:r>
        <w:rPr>
          <w:rFonts w:hint="eastAsia" w:ascii="宋体" w:hAnsi="宋体" w:eastAsia="宋体"/>
          <w:sz w:val="24"/>
        </w:rPr>
        <w:t>法定代表人或委托代理人（签字或盖章）：</w:t>
      </w:r>
    </w:p>
    <w:p>
      <w:pPr>
        <w:spacing w:line="276" w:lineRule="auto"/>
        <w:ind w:firstLine="458" w:firstLineChars="200"/>
        <w:rPr>
          <w:rFonts w:ascii="宋体" w:hAnsi="宋体" w:eastAsia="宋体"/>
          <w:sz w:val="24"/>
        </w:rPr>
      </w:pPr>
      <w:r>
        <w:rPr>
          <w:rFonts w:hint="eastAsia" w:ascii="宋体" w:hAnsi="宋体" w:eastAsia="宋体"/>
          <w:sz w:val="24"/>
        </w:rPr>
        <w:t>日期：   年   月   日</w:t>
      </w:r>
    </w:p>
    <w:p>
      <w:pPr>
        <w:pStyle w:val="9"/>
        <w:spacing w:line="276" w:lineRule="auto"/>
        <w:ind w:firstLine="0"/>
        <w:jc w:val="center"/>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附件3-1：</w:t>
      </w: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法定代表人身份证明书</w:t>
      </w:r>
    </w:p>
    <w:p>
      <w:pPr>
        <w:pStyle w:val="10"/>
        <w:spacing w:before="0" w:after="0" w:line="276" w:lineRule="auto"/>
        <w:rPr>
          <w:rFonts w:ascii="宋体" w:hAnsi="宋体" w:eastAsia="宋体"/>
          <w:sz w:val="24"/>
          <w:szCs w:val="24"/>
        </w:rPr>
      </w:pPr>
    </w:p>
    <w:p>
      <w:pPr>
        <w:spacing w:line="276" w:lineRule="auto"/>
        <w:rPr>
          <w:rFonts w:ascii="宋体" w:hAnsi="宋体" w:eastAsia="宋体"/>
          <w:sz w:val="24"/>
          <w:szCs w:val="24"/>
        </w:rPr>
      </w:pPr>
      <w:r>
        <w:rPr>
          <w:rFonts w:hint="eastAsia" w:ascii="宋体" w:hAnsi="宋体" w:eastAsia="宋体"/>
          <w:sz w:val="24"/>
          <w:szCs w:val="24"/>
        </w:rPr>
        <w:t xml:space="preserve">    单位名称：</w:t>
      </w:r>
    </w:p>
    <w:p>
      <w:pPr>
        <w:spacing w:line="276" w:lineRule="auto"/>
        <w:outlineLvl w:val="0"/>
        <w:rPr>
          <w:rFonts w:ascii="宋体" w:hAnsi="宋体" w:eastAsia="宋体"/>
          <w:sz w:val="24"/>
          <w:szCs w:val="24"/>
          <w:u w:val="single"/>
        </w:rPr>
      </w:pPr>
      <w:r>
        <w:rPr>
          <w:rFonts w:hint="eastAsia" w:ascii="宋体" w:hAnsi="宋体" w:eastAsia="宋体"/>
          <w:sz w:val="24"/>
          <w:szCs w:val="24"/>
        </w:rPr>
        <w:t xml:space="preserve">    </w:t>
      </w:r>
      <w:bookmarkStart w:id="238" w:name="_Toc31263"/>
      <w:r>
        <w:rPr>
          <w:rFonts w:hint="eastAsia" w:ascii="宋体" w:hAnsi="宋体" w:eastAsia="宋体"/>
          <w:sz w:val="24"/>
          <w:szCs w:val="24"/>
        </w:rPr>
        <w:t>地址：</w:t>
      </w:r>
      <w:bookmarkEnd w:id="238"/>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39" w:name="_Toc6559"/>
      <w:r>
        <w:rPr>
          <w:rFonts w:hint="eastAsia" w:ascii="宋体" w:hAnsi="宋体" w:eastAsia="宋体"/>
          <w:sz w:val="24"/>
          <w:szCs w:val="24"/>
        </w:rPr>
        <w:t>成立时间：年月日</w:t>
      </w:r>
      <w:bookmarkEnd w:id="239"/>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40" w:name="_Toc10040"/>
      <w:r>
        <w:rPr>
          <w:rFonts w:hint="eastAsia" w:ascii="宋体" w:hAnsi="宋体" w:eastAsia="宋体"/>
          <w:sz w:val="24"/>
          <w:szCs w:val="24"/>
        </w:rPr>
        <w:t>姓名：性别：年龄：</w:t>
      </w:r>
      <w:bookmarkEnd w:id="240"/>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41" w:name="_Toc28758"/>
      <w:r>
        <w:rPr>
          <w:rFonts w:hint="eastAsia" w:ascii="宋体" w:hAnsi="宋体" w:eastAsia="宋体"/>
          <w:sz w:val="24"/>
          <w:szCs w:val="24"/>
        </w:rPr>
        <w:t>职务： 身份证号：</w:t>
      </w:r>
      <w:bookmarkEnd w:id="241"/>
    </w:p>
    <w:p>
      <w:pPr>
        <w:spacing w:line="276" w:lineRule="auto"/>
        <w:outlineLvl w:val="0"/>
        <w:rPr>
          <w:rFonts w:ascii="宋体" w:hAnsi="宋体" w:eastAsia="宋体"/>
          <w:sz w:val="24"/>
          <w:szCs w:val="24"/>
        </w:rPr>
      </w:pPr>
      <w:r>
        <w:rPr>
          <w:rFonts w:hint="eastAsia" w:ascii="宋体" w:hAnsi="宋体" w:eastAsia="宋体"/>
          <w:sz w:val="24"/>
          <w:szCs w:val="24"/>
        </w:rPr>
        <w:t xml:space="preserve">    </w:t>
      </w:r>
      <w:bookmarkStart w:id="242" w:name="_Toc23729"/>
      <w:r>
        <w:rPr>
          <w:rFonts w:hint="eastAsia" w:ascii="宋体" w:hAnsi="宋体" w:eastAsia="宋体"/>
          <w:sz w:val="24"/>
          <w:szCs w:val="24"/>
        </w:rPr>
        <w:t>系的法定代表人。</w:t>
      </w:r>
      <w:bookmarkEnd w:id="242"/>
    </w:p>
    <w:p>
      <w:pPr>
        <w:spacing w:line="276" w:lineRule="auto"/>
        <w:ind w:firstLine="517"/>
        <w:outlineLvl w:val="0"/>
        <w:rPr>
          <w:rFonts w:ascii="宋体" w:hAnsi="宋体" w:eastAsia="宋体"/>
          <w:sz w:val="24"/>
          <w:szCs w:val="24"/>
        </w:rPr>
      </w:pPr>
      <w:bookmarkStart w:id="243" w:name="_Toc10284"/>
      <w:r>
        <w:rPr>
          <w:rFonts w:hint="eastAsia" w:ascii="宋体" w:hAnsi="宋体" w:eastAsia="宋体"/>
          <w:sz w:val="24"/>
          <w:szCs w:val="24"/>
        </w:rPr>
        <w:t>特此证明。</w:t>
      </w:r>
      <w:bookmarkEnd w:id="243"/>
    </w:p>
    <w:p>
      <w:pPr>
        <w:spacing w:line="276" w:lineRule="auto"/>
        <w:ind w:firstLine="517"/>
        <w:outlineLvl w:val="0"/>
        <w:rPr>
          <w:rFonts w:ascii="宋体" w:hAnsi="宋体" w:eastAsia="宋体"/>
          <w:sz w:val="24"/>
          <w:szCs w:val="24"/>
        </w:rPr>
      </w:pPr>
      <w:bookmarkStart w:id="244" w:name="_Toc7426"/>
      <w:r>
        <w:rPr>
          <w:rFonts w:hint="eastAsia" w:ascii="宋体" w:hAnsi="宋体" w:eastAsia="宋体"/>
          <w:sz w:val="24"/>
          <w:szCs w:val="24"/>
        </w:rPr>
        <w:t>附法定代表人身份证复印件。</w:t>
      </w:r>
      <w:bookmarkEnd w:id="244"/>
    </w:p>
    <w:p>
      <w:pPr>
        <w:spacing w:line="276" w:lineRule="auto"/>
        <w:outlineLvl w:val="9"/>
        <w:rPr>
          <w:rFonts w:ascii="宋体" w:hAnsi="宋体" w:eastAsia="宋体"/>
          <w:sz w:val="24"/>
          <w:szCs w:val="24"/>
        </w:rPr>
      </w:pPr>
    </w:p>
    <w:p>
      <w:pPr>
        <w:spacing w:line="276" w:lineRule="auto"/>
        <w:outlineLvl w:val="9"/>
        <w:rPr>
          <w:rFonts w:ascii="宋体" w:hAnsi="宋体" w:eastAsia="宋体"/>
          <w:sz w:val="24"/>
          <w:szCs w:val="24"/>
        </w:rPr>
      </w:pPr>
    </w:p>
    <w:p>
      <w:pPr>
        <w:spacing w:line="276" w:lineRule="auto"/>
        <w:outlineLvl w:val="0"/>
        <w:rPr>
          <w:rFonts w:ascii="宋体" w:hAnsi="宋体" w:eastAsia="宋体"/>
          <w:sz w:val="24"/>
          <w:szCs w:val="24"/>
        </w:rPr>
      </w:pPr>
      <w:bookmarkStart w:id="245" w:name="_Toc24026"/>
      <w:r>
        <w:rPr>
          <w:rFonts w:hint="eastAsia" w:ascii="宋体" w:hAnsi="宋体" w:eastAsia="宋体"/>
          <w:sz w:val="24"/>
          <w:szCs w:val="24"/>
        </w:rPr>
        <w:t>供应商（公章）：</w:t>
      </w:r>
      <w:bookmarkEnd w:id="245"/>
      <w:r>
        <w:rPr>
          <w:rFonts w:hint="eastAsia" w:ascii="宋体" w:hAnsi="宋体" w:eastAsia="宋体"/>
          <w:sz w:val="24"/>
          <w:szCs w:val="24"/>
        </w:rPr>
        <w:t xml:space="preserve">          </w:t>
      </w:r>
    </w:p>
    <w:p>
      <w:pPr>
        <w:spacing w:line="276" w:lineRule="auto"/>
        <w:outlineLvl w:val="9"/>
        <w:rPr>
          <w:rFonts w:ascii="宋体" w:hAnsi="宋体" w:eastAsia="宋体"/>
          <w:sz w:val="24"/>
          <w:szCs w:val="24"/>
        </w:rPr>
      </w:pPr>
    </w:p>
    <w:p>
      <w:pPr>
        <w:spacing w:line="276" w:lineRule="auto"/>
        <w:outlineLvl w:val="0"/>
        <w:rPr>
          <w:rFonts w:ascii="宋体" w:hAnsi="宋体" w:eastAsia="宋体"/>
          <w:sz w:val="24"/>
          <w:szCs w:val="24"/>
        </w:rPr>
      </w:pPr>
      <w:bookmarkStart w:id="246" w:name="_Toc3511"/>
      <w:r>
        <w:rPr>
          <w:rFonts w:hint="eastAsia" w:ascii="宋体" w:hAnsi="宋体" w:eastAsia="宋体"/>
          <w:sz w:val="24"/>
          <w:szCs w:val="24"/>
        </w:rPr>
        <w:t>法定代表人（签字或盖章）：</w:t>
      </w:r>
      <w:bookmarkEnd w:id="246"/>
    </w:p>
    <w:p>
      <w:pPr>
        <w:spacing w:line="276" w:lineRule="auto"/>
        <w:outlineLvl w:val="9"/>
        <w:rPr>
          <w:rFonts w:ascii="宋体" w:hAnsi="宋体" w:eastAsia="宋体"/>
          <w:sz w:val="24"/>
          <w:szCs w:val="24"/>
        </w:rPr>
      </w:pPr>
    </w:p>
    <w:p>
      <w:pPr>
        <w:spacing w:line="276" w:lineRule="auto"/>
        <w:ind w:firstLine="3879" w:firstLineChars="1694"/>
        <w:outlineLvl w:val="9"/>
        <w:rPr>
          <w:rFonts w:ascii="宋体" w:hAnsi="宋体" w:eastAsia="宋体"/>
          <w:sz w:val="24"/>
          <w:szCs w:val="24"/>
        </w:rPr>
      </w:pPr>
    </w:p>
    <w:p>
      <w:pPr>
        <w:spacing w:line="276" w:lineRule="auto"/>
        <w:ind w:firstLine="4205" w:firstLineChars="1836"/>
        <w:outlineLvl w:val="0"/>
        <w:rPr>
          <w:rFonts w:ascii="宋体" w:hAnsi="宋体" w:eastAsia="宋体"/>
          <w:sz w:val="24"/>
          <w:szCs w:val="24"/>
        </w:rPr>
      </w:pPr>
      <w:bookmarkStart w:id="247" w:name="_Toc30116"/>
      <w:r>
        <w:rPr>
          <w:rFonts w:hint="eastAsia" w:ascii="宋体" w:hAnsi="宋体" w:eastAsia="宋体"/>
          <w:sz w:val="24"/>
          <w:szCs w:val="24"/>
        </w:rPr>
        <w:t>年    月    日</w:t>
      </w:r>
      <w:bookmarkEnd w:id="247"/>
    </w:p>
    <w:p>
      <w:pPr>
        <w:widowControl/>
        <w:spacing w:line="276" w:lineRule="auto"/>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附件3-2：</w:t>
      </w:r>
    </w:p>
    <w:p>
      <w:pPr>
        <w:spacing w:before="49"/>
        <w:ind w:left="417" w:right="689"/>
        <w:jc w:val="both"/>
        <w:rPr>
          <w:rFonts w:hint="eastAsia" w:ascii="楷体" w:hAnsi="楷体" w:eastAsia="楷体" w:cs="楷体"/>
          <w:b/>
          <w:bCs/>
          <w:sz w:val="36"/>
          <w:szCs w:val="36"/>
          <w:lang w:val="zh-CN" w:eastAsia="zh-CN" w:bidi="zh-CN"/>
        </w:rPr>
      </w:pP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法定代表人授权书</w:t>
      </w:r>
    </w:p>
    <w:p>
      <w:pPr>
        <w:spacing w:line="276" w:lineRule="auto"/>
        <w:jc w:val="center"/>
        <w:outlineLvl w:val="9"/>
        <w:rPr>
          <w:rFonts w:ascii="宋体" w:hAnsi="宋体" w:eastAsia="宋体"/>
        </w:rPr>
      </w:pP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 xml:space="preserve">本人 </w:t>
      </w:r>
      <w:r>
        <w:rPr>
          <w:rFonts w:ascii="宋体" w:hAnsi="宋体" w:eastAsia="宋体" w:cs="黑体"/>
          <w:sz w:val="24"/>
          <w:szCs w:val="24"/>
        </w:rPr>
        <w:t>（姓名）系（</w:t>
      </w:r>
      <w:r>
        <w:rPr>
          <w:rFonts w:hint="eastAsia" w:ascii="宋体" w:hAnsi="宋体" w:eastAsia="宋体" w:cs="黑体"/>
          <w:sz w:val="24"/>
          <w:szCs w:val="24"/>
        </w:rPr>
        <w:t>供应商</w:t>
      </w:r>
      <w:r>
        <w:rPr>
          <w:rFonts w:ascii="宋体" w:hAnsi="宋体" w:eastAsia="宋体" w:cs="黑体"/>
          <w:sz w:val="24"/>
          <w:szCs w:val="24"/>
        </w:rPr>
        <w:t>名称）的法定代表人，现授权委托本单位在职</w:t>
      </w:r>
      <w:r>
        <w:rPr>
          <w:rFonts w:hint="eastAsia" w:ascii="宋体" w:hAnsi="宋体" w:eastAsia="宋体" w:cs="黑体"/>
          <w:sz w:val="24"/>
          <w:szCs w:val="24"/>
        </w:rPr>
        <w:t>员工</w:t>
      </w:r>
      <w:r>
        <w:rPr>
          <w:rFonts w:ascii="宋体" w:hAnsi="宋体" w:eastAsia="宋体" w:cs="黑体"/>
          <w:sz w:val="24"/>
          <w:szCs w:val="24"/>
        </w:rPr>
        <w:t>（姓名，职务）（身份证号码：、</w:t>
      </w:r>
      <w:r>
        <w:rPr>
          <w:rFonts w:hint="eastAsia" w:ascii="宋体" w:hAnsi="宋体" w:eastAsia="宋体" w:cs="黑体"/>
          <w:sz w:val="24"/>
          <w:szCs w:val="24"/>
        </w:rPr>
        <w:t>手机号码</w:t>
      </w:r>
      <w:r>
        <w:rPr>
          <w:rFonts w:ascii="宋体" w:hAnsi="宋体" w:eastAsia="宋体" w:cs="黑体"/>
          <w:sz w:val="24"/>
          <w:szCs w:val="24"/>
        </w:rPr>
        <w:t>：）作为供应商代表以我方的名义参加贵</w:t>
      </w:r>
      <w:r>
        <w:rPr>
          <w:rFonts w:hint="eastAsia" w:ascii="宋体" w:hAnsi="宋体" w:eastAsia="宋体" w:cs="黑体"/>
          <w:sz w:val="24"/>
          <w:szCs w:val="24"/>
        </w:rPr>
        <w:t>单位组织的</w:t>
      </w:r>
      <w:r>
        <w:rPr>
          <w:rFonts w:ascii="宋体" w:hAnsi="宋体" w:eastAsia="宋体" w:cs="黑体"/>
          <w:sz w:val="24"/>
          <w:szCs w:val="24"/>
        </w:rPr>
        <w:t>项目（</w:t>
      </w:r>
      <w:r>
        <w:rPr>
          <w:rFonts w:hint="eastAsia" w:ascii="宋体" w:hAnsi="宋体" w:eastAsia="宋体" w:cs="黑体"/>
          <w:sz w:val="24"/>
          <w:szCs w:val="24"/>
        </w:rPr>
        <w:t>采购编号</w:t>
      </w:r>
      <w:r>
        <w:rPr>
          <w:rFonts w:ascii="宋体" w:hAnsi="宋体" w:eastAsia="宋体" w:cs="黑体"/>
          <w:sz w:val="24"/>
          <w:szCs w:val="24"/>
        </w:rPr>
        <w:t>：）的</w:t>
      </w:r>
      <w:r>
        <w:rPr>
          <w:rFonts w:hint="eastAsia" w:ascii="宋体" w:hAnsi="宋体" w:eastAsia="宋体" w:cs="黑体"/>
          <w:sz w:val="24"/>
          <w:szCs w:val="24"/>
        </w:rPr>
        <w:t>采购</w:t>
      </w:r>
      <w:r>
        <w:rPr>
          <w:rFonts w:ascii="宋体" w:hAnsi="宋体" w:eastAsia="宋体" w:cs="黑体"/>
          <w:sz w:val="24"/>
          <w:szCs w:val="24"/>
        </w:rPr>
        <w:t>活动，并代表我方全权</w:t>
      </w:r>
      <w:r>
        <w:rPr>
          <w:rFonts w:hint="eastAsia" w:ascii="宋体" w:hAnsi="宋体" w:eastAsia="宋体" w:cs="黑体"/>
          <w:sz w:val="24"/>
          <w:szCs w:val="24"/>
        </w:rPr>
        <w:t>处理</w:t>
      </w:r>
      <w:r>
        <w:rPr>
          <w:rFonts w:ascii="宋体" w:hAnsi="宋体" w:eastAsia="宋体" w:cs="黑体"/>
          <w:sz w:val="24"/>
          <w:szCs w:val="24"/>
        </w:rPr>
        <w:t>一切</w:t>
      </w:r>
      <w:r>
        <w:rPr>
          <w:rFonts w:hint="eastAsia" w:ascii="宋体" w:hAnsi="宋体" w:eastAsia="宋体" w:cs="黑体"/>
          <w:sz w:val="24"/>
          <w:szCs w:val="24"/>
        </w:rPr>
        <w:t>与之有关的</w:t>
      </w:r>
      <w:r>
        <w:rPr>
          <w:rFonts w:ascii="宋体" w:hAnsi="宋体" w:eastAsia="宋体" w:cs="黑体"/>
          <w:sz w:val="24"/>
          <w:szCs w:val="24"/>
        </w:rPr>
        <w:t>具体事务和签署相关文件</w:t>
      </w:r>
      <w:r>
        <w:rPr>
          <w:rFonts w:hint="eastAsia" w:ascii="宋体" w:hAnsi="宋体" w:eastAsia="宋体" w:cs="黑体"/>
          <w:sz w:val="24"/>
          <w:szCs w:val="24"/>
        </w:rPr>
        <w:t>，我均予以承认。</w:t>
      </w: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代理人无权转让委托权。</w:t>
      </w: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本授权书于年月日签字生效，</w:t>
      </w:r>
      <w:r>
        <w:rPr>
          <w:rFonts w:ascii="宋体" w:hAnsi="宋体" w:eastAsia="宋体" w:cs="黑体"/>
          <w:sz w:val="24"/>
          <w:szCs w:val="24"/>
        </w:rPr>
        <w:t>本授权书至响应文件有效期结束前始终有效。</w:t>
      </w:r>
    </w:p>
    <w:p>
      <w:pPr>
        <w:spacing w:line="276" w:lineRule="auto"/>
        <w:ind w:firstLine="458" w:firstLineChars="200"/>
        <w:rPr>
          <w:rFonts w:ascii="宋体" w:hAnsi="宋体" w:eastAsia="宋体" w:cs="黑体"/>
          <w:sz w:val="24"/>
          <w:szCs w:val="24"/>
        </w:rPr>
      </w:pPr>
      <w:r>
        <w:rPr>
          <w:rFonts w:hint="eastAsia" w:ascii="宋体" w:hAnsi="宋体" w:eastAsia="宋体" w:cs="黑体"/>
          <w:sz w:val="24"/>
          <w:szCs w:val="24"/>
        </w:rPr>
        <w:t>特此声明。</w:t>
      </w:r>
    </w:p>
    <w:p>
      <w:pPr>
        <w:spacing w:line="276" w:lineRule="auto"/>
        <w:rPr>
          <w:rFonts w:ascii="宋体" w:hAnsi="宋体" w:eastAsia="宋体" w:cs="黑体"/>
          <w:sz w:val="24"/>
          <w:szCs w:val="24"/>
        </w:rPr>
      </w:pPr>
    </w:p>
    <w:p>
      <w:pPr>
        <w:spacing w:line="276" w:lineRule="auto"/>
        <w:rPr>
          <w:rFonts w:ascii="宋体" w:hAnsi="宋体" w:eastAsia="宋体" w:cs="黑体"/>
          <w:sz w:val="24"/>
          <w:szCs w:val="24"/>
        </w:rPr>
      </w:pPr>
    </w:p>
    <w:p>
      <w:pPr>
        <w:spacing w:line="276" w:lineRule="auto"/>
        <w:rPr>
          <w:rFonts w:ascii="宋体" w:hAnsi="宋体" w:eastAsia="宋体" w:cs="黑体"/>
          <w:sz w:val="24"/>
          <w:szCs w:val="24"/>
        </w:rPr>
      </w:pPr>
      <w:r>
        <w:rPr>
          <w:rFonts w:hint="eastAsia" w:ascii="宋体" w:hAnsi="宋体" w:eastAsia="宋体" w:cs="黑体"/>
          <w:sz w:val="24"/>
          <w:szCs w:val="24"/>
        </w:rPr>
        <w:t>供应商（公章）：</w:t>
      </w:r>
    </w:p>
    <w:p>
      <w:pPr>
        <w:spacing w:line="276" w:lineRule="auto"/>
        <w:rPr>
          <w:rFonts w:ascii="宋体" w:hAnsi="宋体" w:eastAsia="宋体" w:cs="黑体"/>
          <w:sz w:val="24"/>
          <w:szCs w:val="24"/>
        </w:rPr>
      </w:pPr>
      <w:r>
        <w:rPr>
          <w:rFonts w:hint="eastAsia" w:ascii="宋体" w:hAnsi="宋体" w:eastAsia="宋体" w:cs="黑体"/>
          <w:sz w:val="24"/>
          <w:szCs w:val="24"/>
        </w:rPr>
        <w:t>法定代表人（授权人）签字或盖章：</w:t>
      </w:r>
    </w:p>
    <w:p>
      <w:pPr>
        <w:spacing w:line="276" w:lineRule="auto"/>
        <w:rPr>
          <w:rFonts w:ascii="宋体" w:hAnsi="宋体" w:eastAsia="宋体" w:cs="黑体"/>
          <w:sz w:val="24"/>
          <w:szCs w:val="24"/>
        </w:rPr>
      </w:pPr>
      <w:r>
        <w:rPr>
          <w:rFonts w:hint="eastAsia" w:ascii="宋体" w:hAnsi="宋体" w:eastAsia="宋体" w:cs="黑体"/>
          <w:sz w:val="24"/>
          <w:szCs w:val="24"/>
        </w:rPr>
        <w:t>供应商代表（被授权人）签字或盖章：</w:t>
      </w:r>
    </w:p>
    <w:p>
      <w:pPr>
        <w:spacing w:line="276" w:lineRule="auto"/>
        <w:rPr>
          <w:rFonts w:ascii="宋体" w:hAnsi="宋体" w:eastAsia="宋体" w:cs="黑体"/>
          <w:sz w:val="24"/>
          <w:szCs w:val="24"/>
        </w:rPr>
      </w:pPr>
      <w:r>
        <w:rPr>
          <w:rFonts w:hint="eastAsia" w:ascii="宋体" w:hAnsi="宋体" w:eastAsia="宋体" w:cs="黑体"/>
          <w:sz w:val="24"/>
          <w:szCs w:val="24"/>
        </w:rPr>
        <w:t>日期：</w:t>
      </w:r>
    </w:p>
    <w:p>
      <w:pPr>
        <w:spacing w:line="276" w:lineRule="auto"/>
        <w:rPr>
          <w:rFonts w:ascii="宋体" w:hAnsi="宋体" w:eastAsia="宋体" w:cs="黑体"/>
          <w:sz w:val="24"/>
          <w:szCs w:val="24"/>
        </w:rPr>
      </w:pPr>
    </w:p>
    <w:p>
      <w:pPr>
        <w:spacing w:line="276" w:lineRule="auto"/>
        <w:rPr>
          <w:rFonts w:ascii="宋体" w:hAnsi="宋体" w:eastAsia="宋体" w:cs="黑体"/>
          <w:sz w:val="24"/>
          <w:szCs w:val="24"/>
        </w:rPr>
      </w:pPr>
    </w:p>
    <w:p>
      <w:pPr>
        <w:adjustRightInd w:val="0"/>
        <w:spacing w:line="276" w:lineRule="auto"/>
        <w:rPr>
          <w:rFonts w:ascii="宋体" w:hAnsi="宋体" w:eastAsia="宋体" w:cs="黑体"/>
          <w:sz w:val="24"/>
          <w:szCs w:val="24"/>
        </w:rPr>
      </w:pPr>
      <w:r>
        <w:rPr>
          <w:rFonts w:hint="eastAsia" w:ascii="宋体" w:hAnsi="宋体" w:eastAsia="宋体" w:cs="黑体"/>
          <w:sz w:val="24"/>
          <w:szCs w:val="24"/>
        </w:rPr>
        <w:t>附供应商代表（被授权人）身份证正面和反面复印件</w:t>
      </w:r>
    </w:p>
    <w:p>
      <w:pPr>
        <w:widowControl/>
        <w:spacing w:line="276" w:lineRule="auto"/>
        <w:rPr>
          <w:rFonts w:ascii="宋体" w:hAnsi="宋体" w:eastAsia="宋体"/>
          <w:sz w:val="28"/>
          <w:szCs w:val="28"/>
        </w:rPr>
      </w:pPr>
      <w:r>
        <w:rPr>
          <w:rFonts w:ascii="宋体" w:hAnsi="宋体" w:eastAsia="宋体"/>
          <w:sz w:val="28"/>
          <w:szCs w:val="28"/>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附件4-1：</w:t>
      </w:r>
    </w:p>
    <w:p>
      <w:pPr>
        <w:pStyle w:val="55"/>
        <w:jc w:val="center"/>
        <w:rPr>
          <w:rFonts w:hint="eastAsia" w:ascii="楷体" w:hAnsi="楷体" w:eastAsia="楷体" w:cs="楷体"/>
          <w:b/>
          <w:bCs/>
          <w:kern w:val="0"/>
          <w:sz w:val="36"/>
          <w:szCs w:val="36"/>
          <w:lang w:val="zh-CN" w:eastAsia="zh-CN" w:bidi="zh-CN"/>
        </w:rPr>
      </w:pPr>
      <w:r>
        <w:rPr>
          <w:rFonts w:hint="eastAsia" w:ascii="楷体" w:hAnsi="楷体" w:eastAsia="楷体" w:cs="楷体"/>
          <w:b/>
          <w:bCs/>
          <w:kern w:val="0"/>
          <w:sz w:val="36"/>
          <w:szCs w:val="36"/>
          <w:lang w:val="zh-CN" w:eastAsia="zh-CN" w:bidi="zh-CN"/>
        </w:rPr>
        <w:t>中小微企业声明函（供应商）</w:t>
      </w:r>
    </w:p>
    <w:p>
      <w:pPr>
        <w:pStyle w:val="55"/>
        <w:jc w:val="center"/>
        <w:rPr>
          <w:rFonts w:ascii="仿宋" w:hAnsi="仿宋" w:eastAsia="仿宋"/>
          <w:spacing w:val="14"/>
          <w:szCs w:val="21"/>
        </w:rPr>
      </w:pPr>
    </w:p>
    <w:p>
      <w:pPr>
        <w:pStyle w:val="58"/>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 xml:space="preserve">本公司（联合体）郑重声明，《政府采购促进中小企业发展管理办法》（财库﹝2020﹞46 号）的规定，本公司（联合体）参加 </w:t>
      </w:r>
      <w:r>
        <w:rPr>
          <w:rFonts w:hint="eastAsia" w:asciiTheme="minorEastAsia" w:hAnsiTheme="minorEastAsia" w:eastAsiaTheme="minorEastAsia" w:cstheme="minorEastAsia"/>
          <w:kern w:val="2"/>
          <w:sz w:val="24"/>
          <w:szCs w:val="24"/>
          <w:u w:val="single"/>
        </w:rPr>
        <w:t xml:space="preserve">      （单位名称）    </w:t>
      </w:r>
      <w:r>
        <w:rPr>
          <w:rFonts w:hint="eastAsia" w:asciiTheme="minorEastAsia" w:hAnsiTheme="minorEastAsia" w:eastAsiaTheme="minorEastAsia" w:cstheme="minorEastAsia"/>
          <w:kern w:val="2"/>
          <w:sz w:val="24"/>
          <w:szCs w:val="24"/>
        </w:rPr>
        <w:t xml:space="preserve"> 的  </w:t>
      </w:r>
      <w:r>
        <w:rPr>
          <w:rFonts w:hint="eastAsia" w:asciiTheme="minorEastAsia" w:hAnsiTheme="minorEastAsia" w:eastAsiaTheme="minorEastAsia" w:cstheme="minorEastAsia"/>
          <w:kern w:val="2"/>
          <w:sz w:val="24"/>
          <w:szCs w:val="24"/>
          <w:u w:val="single"/>
        </w:rPr>
        <w:t xml:space="preserve">    （项目名称）     </w:t>
      </w:r>
      <w:r>
        <w:rPr>
          <w:rFonts w:hint="eastAsia" w:asciiTheme="minorEastAsia" w:hAnsiTheme="minorEastAsia" w:eastAsiaTheme="minorEastAsia" w:cstheme="minorEastAsia"/>
          <w:kern w:val="2"/>
          <w:sz w:val="24"/>
          <w:szCs w:val="24"/>
        </w:rPr>
        <w:t>采购活动，工程的施工单位全部为符合政策要求的中小企业（或者：服务全部由符合政策要求的中小企业承接）。相关企业（含联合体中的中小企业、签订分包意向协议的中小企业）的具体情况如下：</w:t>
      </w:r>
    </w:p>
    <w:p>
      <w:pPr>
        <w:pStyle w:val="58"/>
        <w:numPr>
          <w:ilvl w:val="0"/>
          <w:numId w:val="7"/>
        </w:numPr>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u w:val="single"/>
        </w:rPr>
        <w:t xml:space="preserve">      （标的名称）      </w:t>
      </w:r>
      <w:r>
        <w:rPr>
          <w:rFonts w:hint="eastAsia" w:asciiTheme="minorEastAsia" w:hAnsiTheme="minorEastAsia" w:eastAsiaTheme="minorEastAsia" w:cstheme="minorEastAsia"/>
          <w:kern w:val="2"/>
          <w:sz w:val="24"/>
          <w:szCs w:val="24"/>
        </w:rPr>
        <w:t xml:space="preserve"> ，属于</w:t>
      </w:r>
      <w:r>
        <w:rPr>
          <w:rFonts w:hint="eastAsia" w:asciiTheme="minorEastAsia" w:hAnsiTheme="minorEastAsia" w:eastAsiaTheme="minorEastAsia" w:cstheme="minorEastAsia"/>
          <w:kern w:val="2"/>
          <w:sz w:val="24"/>
          <w:szCs w:val="24"/>
          <w:u w:val="single"/>
        </w:rPr>
        <w:t xml:space="preserve">    （</w:t>
      </w:r>
      <w:commentRangeStart w:id="2"/>
      <w:r>
        <w:rPr>
          <w:rFonts w:hint="eastAsia" w:asciiTheme="minorEastAsia" w:hAnsiTheme="minorEastAsia" w:eastAsiaTheme="minorEastAsia" w:cstheme="minorEastAsia"/>
          <w:kern w:val="2"/>
          <w:sz w:val="24"/>
          <w:szCs w:val="24"/>
          <w:u w:val="single"/>
        </w:rPr>
        <w:t>采购文件中明确的所属行业</w:t>
      </w:r>
      <w:commentRangeEnd w:id="2"/>
      <w:r>
        <w:commentReference w:id="2"/>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 xml:space="preserve">；承建（承接）企业为 </w:t>
      </w:r>
      <w:r>
        <w:rPr>
          <w:rFonts w:hint="eastAsia" w:asciiTheme="minorEastAsia" w:hAnsiTheme="minorEastAsia" w:eastAsiaTheme="minorEastAsia" w:cstheme="minorEastAsia"/>
          <w:kern w:val="2"/>
          <w:sz w:val="24"/>
          <w:szCs w:val="24"/>
          <w:u w:val="single"/>
        </w:rPr>
        <w:t xml:space="preserve">    （企业名称）     </w:t>
      </w:r>
      <w:r>
        <w:rPr>
          <w:rFonts w:hint="eastAsia" w:asciiTheme="minorEastAsia" w:hAnsiTheme="minorEastAsia" w:eastAsiaTheme="minorEastAsia" w:cstheme="minorEastAsia"/>
          <w:kern w:val="2"/>
          <w:sz w:val="24"/>
          <w:szCs w:val="24"/>
        </w:rPr>
        <w:t xml:space="preserve"> ，从业人员</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 xml:space="preserve">人，营业收入为 </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万元，资产总额为</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万元，属于</w:t>
      </w:r>
      <w:r>
        <w:rPr>
          <w:rFonts w:hint="eastAsia" w:asciiTheme="minorEastAsia" w:hAnsiTheme="minorEastAsia" w:eastAsiaTheme="minorEastAsia" w:cstheme="minorEastAsia"/>
          <w:kern w:val="2"/>
          <w:sz w:val="24"/>
          <w:szCs w:val="24"/>
          <w:u w:val="single"/>
        </w:rPr>
        <w:t xml:space="preserve">       （中型企业、小型企业、微型企业）       </w:t>
      </w:r>
      <w:r>
        <w:rPr>
          <w:rFonts w:hint="eastAsia" w:asciiTheme="minorEastAsia" w:hAnsiTheme="minorEastAsia" w:eastAsiaTheme="minorEastAsia" w:cstheme="minorEastAsia"/>
          <w:kern w:val="2"/>
          <w:sz w:val="24"/>
          <w:szCs w:val="24"/>
        </w:rPr>
        <w:t>；</w:t>
      </w:r>
    </w:p>
    <w:p>
      <w:pPr>
        <w:pStyle w:val="58"/>
        <w:numPr>
          <w:ilvl w:val="0"/>
          <w:numId w:val="7"/>
        </w:numPr>
        <w:spacing w:line="480" w:lineRule="exact"/>
        <w:ind w:firstLine="458" w:firstLineChars="20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2"/>
          <w:sz w:val="24"/>
          <w:szCs w:val="24"/>
          <w:u w:val="single"/>
        </w:rPr>
        <w:t xml:space="preserve">      （标的名称）      </w:t>
      </w:r>
      <w:r>
        <w:rPr>
          <w:rFonts w:hint="eastAsia" w:asciiTheme="minorEastAsia" w:hAnsiTheme="minorEastAsia" w:eastAsiaTheme="minorEastAsia" w:cstheme="minorEastAsia"/>
          <w:kern w:val="2"/>
          <w:sz w:val="24"/>
          <w:szCs w:val="24"/>
        </w:rPr>
        <w:t xml:space="preserve"> ，属于</w:t>
      </w:r>
      <w:r>
        <w:rPr>
          <w:rFonts w:hint="eastAsia" w:asciiTheme="minorEastAsia" w:hAnsiTheme="minorEastAsia" w:eastAsiaTheme="minorEastAsia" w:cstheme="minorEastAsia"/>
          <w:kern w:val="2"/>
          <w:sz w:val="24"/>
          <w:szCs w:val="24"/>
          <w:u w:val="single"/>
        </w:rPr>
        <w:t xml:space="preserve">    （采购文件中明确的所属行业）   </w:t>
      </w:r>
      <w:r>
        <w:rPr>
          <w:rFonts w:hint="eastAsia" w:asciiTheme="minorEastAsia" w:hAnsiTheme="minorEastAsia" w:eastAsiaTheme="minorEastAsia" w:cstheme="minorEastAsia"/>
          <w:kern w:val="2"/>
          <w:sz w:val="24"/>
          <w:szCs w:val="24"/>
        </w:rPr>
        <w:t xml:space="preserve">；承建（承接）企业为 </w:t>
      </w:r>
      <w:r>
        <w:rPr>
          <w:rFonts w:hint="eastAsia" w:asciiTheme="minorEastAsia" w:hAnsiTheme="minorEastAsia" w:eastAsiaTheme="minorEastAsia" w:cstheme="minorEastAsia"/>
          <w:kern w:val="2"/>
          <w:sz w:val="24"/>
          <w:szCs w:val="24"/>
          <w:u w:val="single"/>
        </w:rPr>
        <w:t xml:space="preserve">    （企业名称）     </w:t>
      </w:r>
      <w:r>
        <w:rPr>
          <w:rFonts w:hint="eastAsia" w:asciiTheme="minorEastAsia" w:hAnsiTheme="minorEastAsia" w:eastAsiaTheme="minorEastAsia" w:cstheme="minorEastAsia"/>
          <w:kern w:val="2"/>
          <w:sz w:val="24"/>
          <w:szCs w:val="24"/>
        </w:rPr>
        <w:t xml:space="preserve"> ，从业人员</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 xml:space="preserve">人，营业收入为 </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万元，资产总额为</w:t>
      </w:r>
      <w:r>
        <w:rPr>
          <w:rFonts w:hint="eastAsia" w:asciiTheme="minorEastAsia" w:hAnsiTheme="minorEastAsia" w:eastAsiaTheme="minorEastAsia" w:cstheme="minorEastAsia"/>
          <w:kern w:val="2"/>
          <w:sz w:val="24"/>
          <w:szCs w:val="24"/>
          <w:u w:val="single"/>
        </w:rPr>
        <w:t xml:space="preserve">     </w:t>
      </w:r>
      <w:r>
        <w:rPr>
          <w:rFonts w:hint="eastAsia" w:asciiTheme="minorEastAsia" w:hAnsiTheme="minorEastAsia" w:eastAsiaTheme="minorEastAsia" w:cstheme="minorEastAsia"/>
          <w:kern w:val="2"/>
          <w:sz w:val="24"/>
          <w:szCs w:val="24"/>
        </w:rPr>
        <w:t>万元，属于</w:t>
      </w:r>
      <w:r>
        <w:rPr>
          <w:rFonts w:hint="eastAsia" w:asciiTheme="minorEastAsia" w:hAnsiTheme="minorEastAsia" w:eastAsiaTheme="minorEastAsia" w:cstheme="minorEastAsia"/>
          <w:kern w:val="2"/>
          <w:sz w:val="24"/>
          <w:szCs w:val="24"/>
          <w:u w:val="single"/>
        </w:rPr>
        <w:t xml:space="preserve">       （中型企业、小型企业、微型企业）       </w:t>
      </w:r>
      <w:r>
        <w:rPr>
          <w:rFonts w:hint="eastAsia" w:asciiTheme="minorEastAsia" w:hAnsiTheme="minorEastAsia" w:eastAsiaTheme="minorEastAsia" w:cstheme="minorEastAsia"/>
          <w:kern w:val="2"/>
          <w:sz w:val="24"/>
          <w:szCs w:val="24"/>
        </w:rPr>
        <w:t>；</w:t>
      </w:r>
    </w:p>
    <w:p>
      <w:pPr>
        <w:pStyle w:val="58"/>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w:t>
      </w:r>
    </w:p>
    <w:p>
      <w:pPr>
        <w:pStyle w:val="58"/>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以上企业，不属于大企业的分支机构，不存在控股股东为大企业的情形，也不存在与大企业的负责人为同一人的情形。</w:t>
      </w:r>
    </w:p>
    <w:p>
      <w:pPr>
        <w:pStyle w:val="58"/>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本企业对上述声明内容的真实性负责。如有虚假，将依法承担相应责任。</w:t>
      </w:r>
    </w:p>
    <w:p>
      <w:pPr>
        <w:pStyle w:val="58"/>
        <w:spacing w:line="480" w:lineRule="exact"/>
        <w:ind w:firstLine="458" w:firstLineChars="200"/>
        <w:jc w:val="left"/>
        <w:rPr>
          <w:rFonts w:hint="eastAsia" w:asciiTheme="minorEastAsia" w:hAnsiTheme="minorEastAsia" w:eastAsiaTheme="minorEastAsia" w:cstheme="minorEastAsia"/>
          <w:kern w:val="2"/>
          <w:sz w:val="24"/>
          <w:szCs w:val="24"/>
        </w:rPr>
      </w:pPr>
    </w:p>
    <w:p>
      <w:pPr>
        <w:pStyle w:val="58"/>
        <w:spacing w:line="480" w:lineRule="exact"/>
        <w:ind w:firstLine="458" w:firstLineChars="200"/>
        <w:jc w:val="left"/>
        <w:rPr>
          <w:rFonts w:hint="eastAsia" w:asciiTheme="minorEastAsia" w:hAnsiTheme="minorEastAsia" w:eastAsiaTheme="minorEastAsia" w:cstheme="minorEastAsia"/>
          <w:kern w:val="2"/>
          <w:sz w:val="24"/>
          <w:szCs w:val="24"/>
        </w:rPr>
      </w:pPr>
      <w:r>
        <w:rPr>
          <w:rFonts w:hint="eastAsia" w:asciiTheme="minorEastAsia" w:hAnsiTheme="minorEastAsia" w:eastAsiaTheme="minorEastAsia" w:cstheme="minorEastAsia"/>
          <w:kern w:val="2"/>
          <w:sz w:val="24"/>
          <w:szCs w:val="24"/>
        </w:rPr>
        <w:t>供应商名称（</w:t>
      </w:r>
      <w:r>
        <w:rPr>
          <w:rFonts w:hint="eastAsia" w:asciiTheme="minorEastAsia" w:hAnsiTheme="minorEastAsia" w:eastAsiaTheme="minorEastAsia" w:cstheme="minorEastAsia"/>
          <w:kern w:val="2"/>
          <w:sz w:val="24"/>
          <w:szCs w:val="24"/>
          <w:lang w:val="en-US" w:eastAsia="zh-CN"/>
        </w:rPr>
        <w:t>盖</w:t>
      </w:r>
      <w:r>
        <w:rPr>
          <w:rFonts w:hint="eastAsia" w:asciiTheme="minorEastAsia" w:hAnsiTheme="minorEastAsia" w:eastAsiaTheme="minorEastAsia" w:cstheme="minorEastAsia"/>
          <w:kern w:val="2"/>
          <w:sz w:val="24"/>
          <w:szCs w:val="24"/>
          <w:lang w:eastAsia="zh-CN"/>
        </w:rPr>
        <w:t>章</w:t>
      </w:r>
      <w:r>
        <w:rPr>
          <w:rFonts w:hint="eastAsia" w:asciiTheme="minorEastAsia" w:hAnsiTheme="minorEastAsia" w:eastAsiaTheme="minorEastAsia" w:cstheme="minorEastAsia"/>
          <w:kern w:val="2"/>
          <w:sz w:val="24"/>
          <w:szCs w:val="24"/>
        </w:rPr>
        <w:t xml:space="preserve">）： </w:t>
      </w:r>
    </w:p>
    <w:p>
      <w:pPr>
        <w:pStyle w:val="58"/>
        <w:spacing w:line="480" w:lineRule="exact"/>
        <w:ind w:firstLine="458" w:firstLineChars="200"/>
        <w:jc w:val="left"/>
        <w:rPr>
          <w:rFonts w:hint="eastAsia" w:asciiTheme="minorEastAsia" w:hAnsiTheme="minorEastAsia" w:eastAsiaTheme="minorEastAsia" w:cstheme="minorEastAsia"/>
          <w:kern w:val="2"/>
          <w:sz w:val="24"/>
          <w:szCs w:val="24"/>
        </w:rPr>
      </w:pPr>
    </w:p>
    <w:p>
      <w:pPr>
        <w:pStyle w:val="58"/>
        <w:spacing w:line="480" w:lineRule="exact"/>
        <w:ind w:firstLine="458" w:firstLineChars="200"/>
        <w:jc w:val="left"/>
        <w:rPr>
          <w:rFonts w:hint="eastAsia" w:ascii="仿宋" w:hAnsi="仿宋" w:eastAsia="仿宋" w:cs="仿宋"/>
          <w:kern w:val="2"/>
          <w:sz w:val="21"/>
          <w:szCs w:val="21"/>
        </w:rPr>
      </w:pPr>
      <w:r>
        <w:rPr>
          <w:rFonts w:hint="eastAsia" w:asciiTheme="minorEastAsia" w:hAnsiTheme="minorEastAsia" w:eastAsiaTheme="minorEastAsia" w:cstheme="minorEastAsia"/>
          <w:kern w:val="2"/>
          <w:sz w:val="24"/>
          <w:szCs w:val="24"/>
        </w:rPr>
        <w:t>日期</w:t>
      </w:r>
      <w:r>
        <w:rPr>
          <w:rFonts w:hint="eastAsia" w:ascii="仿宋" w:hAnsi="仿宋" w:eastAsia="仿宋" w:cs="仿宋"/>
          <w:kern w:val="2"/>
          <w:sz w:val="21"/>
          <w:szCs w:val="21"/>
        </w:rPr>
        <w:t>：</w:t>
      </w:r>
    </w:p>
    <w:p>
      <w:pPr>
        <w:spacing w:line="276" w:lineRule="auto"/>
        <w:ind w:firstLine="458" w:firstLineChars="200"/>
        <w:rPr>
          <w:rFonts w:ascii="宋体" w:hAnsi="宋体" w:eastAsia="宋体" w:cs="宋体"/>
          <w:sz w:val="24"/>
          <w:szCs w:val="24"/>
        </w:rPr>
      </w:pPr>
    </w:p>
    <w:p>
      <w:pPr>
        <w:spacing w:line="276" w:lineRule="auto"/>
        <w:ind w:firstLine="458" w:firstLineChars="200"/>
        <w:rPr>
          <w:rFonts w:ascii="宋体" w:hAnsi="宋体" w:eastAsia="宋体"/>
          <w:sz w:val="24"/>
          <w:szCs w:val="24"/>
        </w:rPr>
      </w:pPr>
    </w:p>
    <w:p>
      <w:pPr>
        <w:spacing w:line="276" w:lineRule="auto"/>
        <w:ind w:firstLine="458" w:firstLineChars="200"/>
        <w:rPr>
          <w:rFonts w:ascii="宋体" w:hAnsi="宋体" w:eastAsia="宋体"/>
          <w:sz w:val="24"/>
          <w:szCs w:val="24"/>
        </w:rPr>
        <w:sectPr>
          <w:footerReference r:id="rId9" w:type="default"/>
          <w:pgSz w:w="11906" w:h="16838"/>
          <w:pgMar w:top="1418" w:right="1247" w:bottom="1418" w:left="1418" w:header="680" w:footer="680" w:gutter="0"/>
          <w:cols w:space="720" w:num="1"/>
          <w:docGrid w:type="linesAndChars" w:linePitch="466" w:charSpace="-2298"/>
        </w:sectPr>
      </w:pP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附件4-2：</w:t>
      </w:r>
    </w:p>
    <w:p>
      <w:pPr>
        <w:spacing w:before="49"/>
        <w:ind w:left="417" w:right="689"/>
        <w:jc w:val="center"/>
        <w:rPr>
          <w:rFonts w:hint="eastAsia" w:ascii="楷体" w:hAnsi="楷体" w:eastAsia="楷体" w:cs="楷体"/>
          <w:b/>
          <w:bCs/>
          <w:sz w:val="36"/>
          <w:szCs w:val="36"/>
          <w:lang w:val="zh-CN" w:eastAsia="zh-CN" w:bidi="zh-CN"/>
        </w:rPr>
      </w:pPr>
      <w:bookmarkStart w:id="248" w:name="_Hlk492844196"/>
      <w:r>
        <w:rPr>
          <w:rFonts w:hint="eastAsia" w:ascii="楷体" w:hAnsi="楷体" w:eastAsia="楷体" w:cs="楷体"/>
          <w:b/>
          <w:bCs/>
          <w:sz w:val="36"/>
          <w:szCs w:val="36"/>
          <w:lang w:val="zh-CN" w:eastAsia="zh-CN" w:bidi="zh-CN"/>
        </w:rPr>
        <w:t>残疾人福利企业声明函</w:t>
      </w:r>
    </w:p>
    <w:bookmarkEnd w:id="248"/>
    <w:p>
      <w:pPr>
        <w:spacing w:line="276" w:lineRule="auto"/>
        <w:ind w:firstLine="482" w:firstLineChars="200"/>
        <w:rPr>
          <w:rFonts w:ascii="宋体" w:hAnsi="宋体" w:eastAsia="宋体" w:cs="宋体"/>
          <w:spacing w:val="6"/>
          <w:sz w:val="24"/>
          <w:szCs w:val="24"/>
        </w:rPr>
      </w:pPr>
      <w:r>
        <w:rPr>
          <w:rFonts w:hint="eastAsia" w:ascii="宋体" w:hAnsi="宋体" w:eastAsia="宋体" w:cs="宋体"/>
          <w:spacing w:val="6"/>
          <w:sz w:val="24"/>
          <w:szCs w:val="24"/>
        </w:rPr>
        <w:t>本单位郑重声明，根据《财政部民政部中国残疾人联合会关于促进残疾人就业政府采购政策的通知》（财库（</w:t>
      </w:r>
      <w:r>
        <w:rPr>
          <w:rFonts w:ascii="宋体" w:hAnsi="宋体" w:eastAsia="宋体" w:cs="宋体"/>
          <w:spacing w:val="6"/>
          <w:sz w:val="24"/>
          <w:szCs w:val="24"/>
        </w:rPr>
        <w:t>2017</w:t>
      </w:r>
      <w:r>
        <w:rPr>
          <w:rFonts w:hint="eastAsia" w:ascii="宋体" w:hAnsi="宋体" w:eastAsia="宋体" w:cs="宋体"/>
          <w:spacing w:val="6"/>
          <w:sz w:val="24"/>
          <w:szCs w:val="24"/>
        </w:rPr>
        <w:t>〔</w:t>
      </w:r>
      <w:r>
        <w:rPr>
          <w:rFonts w:ascii="宋体" w:hAnsi="宋体" w:eastAsia="宋体" w:cs="宋体"/>
          <w:spacing w:val="6"/>
          <w:sz w:val="24"/>
          <w:szCs w:val="24"/>
        </w:rPr>
        <w:t>141</w:t>
      </w:r>
      <w:r>
        <w:rPr>
          <w:rFonts w:hint="eastAsia" w:ascii="宋体" w:hAnsi="宋体" w:eastAsia="宋体" w:cs="宋体"/>
          <w:spacing w:val="6"/>
          <w:sz w:val="24"/>
          <w:szCs w:val="24"/>
        </w:rPr>
        <w:t>〕号）的规定，本单位为符合该文件之规定条件的残疾人福利性单位，参加本次政府采购活动提供本单位制造的货物，或者提供</w:t>
      </w:r>
      <w:r>
        <w:rPr>
          <w:rFonts w:hint="eastAsia" w:ascii="宋体" w:hAnsi="宋体" w:eastAsia="宋体" w:cs="宋体"/>
          <w:spacing w:val="6"/>
          <w:sz w:val="24"/>
          <w:szCs w:val="24"/>
          <w:u w:val="single"/>
        </w:rPr>
        <w:t>（其他残疾人福利性单位名称）</w:t>
      </w:r>
      <w:r>
        <w:rPr>
          <w:rFonts w:hint="eastAsia" w:ascii="宋体" w:hAnsi="宋体" w:eastAsia="宋体" w:cs="宋体"/>
          <w:spacing w:val="6"/>
          <w:sz w:val="24"/>
          <w:szCs w:val="24"/>
        </w:rPr>
        <w:t>制造的货物（不包括使用非残疾人福利性单位注册商标的货物）。货物的名称品牌型号是。</w:t>
      </w:r>
    </w:p>
    <w:p>
      <w:pPr>
        <w:spacing w:line="276" w:lineRule="auto"/>
        <w:ind w:firstLine="482" w:firstLineChars="200"/>
        <w:rPr>
          <w:rFonts w:ascii="宋体" w:hAnsi="宋体" w:eastAsia="宋体" w:cs="宋体"/>
          <w:spacing w:val="6"/>
          <w:sz w:val="24"/>
          <w:szCs w:val="24"/>
        </w:rPr>
      </w:pPr>
      <w:r>
        <w:rPr>
          <w:rFonts w:hint="eastAsia" w:ascii="宋体" w:hAnsi="宋体" w:eastAsia="宋体" w:cs="宋体"/>
          <w:spacing w:val="6"/>
          <w:sz w:val="24"/>
          <w:szCs w:val="24"/>
        </w:rPr>
        <w:t>本单位对上述声明的真实性负责。如有虚假，将承担相应的法律责任。</w:t>
      </w:r>
    </w:p>
    <w:p>
      <w:pPr>
        <w:tabs>
          <w:tab w:val="left" w:pos="4860"/>
        </w:tabs>
        <w:spacing w:line="276" w:lineRule="auto"/>
        <w:rPr>
          <w:rFonts w:ascii="宋体" w:hAnsi="宋体" w:eastAsia="宋体" w:cs="宋体"/>
          <w:spacing w:val="6"/>
          <w:sz w:val="24"/>
          <w:szCs w:val="24"/>
        </w:rPr>
      </w:pPr>
      <w:r>
        <w:rPr>
          <w:rFonts w:hint="eastAsia" w:ascii="宋体" w:hAnsi="宋体" w:eastAsia="宋体" w:cs="宋体"/>
          <w:spacing w:val="6"/>
          <w:sz w:val="24"/>
          <w:szCs w:val="24"/>
        </w:rPr>
        <w:t>供应商名称（公章）：</w:t>
      </w:r>
    </w:p>
    <w:p>
      <w:pPr>
        <w:spacing w:line="276" w:lineRule="auto"/>
        <w:rPr>
          <w:rFonts w:ascii="宋体" w:hAnsi="宋体" w:eastAsia="宋体" w:cs="宋体"/>
          <w:spacing w:val="6"/>
          <w:sz w:val="24"/>
          <w:szCs w:val="24"/>
        </w:rPr>
      </w:pPr>
      <w:r>
        <w:rPr>
          <w:rFonts w:hint="eastAsia" w:ascii="宋体" w:hAnsi="宋体" w:eastAsia="宋体" w:cs="宋体"/>
          <w:spacing w:val="6"/>
          <w:sz w:val="24"/>
          <w:szCs w:val="24"/>
        </w:rPr>
        <w:t>日期：</w:t>
      </w:r>
    </w:p>
    <w:p>
      <w:pPr>
        <w:spacing w:line="276" w:lineRule="auto"/>
        <w:ind w:firstLine="472" w:firstLineChars="196"/>
        <w:outlineLvl w:val="0"/>
        <w:rPr>
          <w:rFonts w:ascii="宋体" w:hAnsi="宋体" w:eastAsia="宋体" w:cs="宋体"/>
          <w:sz w:val="24"/>
          <w:szCs w:val="24"/>
        </w:rPr>
      </w:pPr>
      <w:bookmarkStart w:id="249" w:name="_Toc11073"/>
      <w:r>
        <w:rPr>
          <w:rFonts w:hint="eastAsia" w:ascii="宋体" w:hAnsi="宋体" w:eastAsia="宋体" w:cs="宋体"/>
          <w:spacing w:val="6"/>
          <w:sz w:val="24"/>
          <w:szCs w:val="24"/>
        </w:rPr>
        <w:t>《财政部民政部中国残疾人联合会关于促进残疾人就业政府采购政策的通知》（财库（</w:t>
      </w:r>
      <w:r>
        <w:rPr>
          <w:rFonts w:ascii="宋体" w:hAnsi="宋体" w:eastAsia="宋体" w:cs="宋体"/>
          <w:spacing w:val="6"/>
          <w:sz w:val="24"/>
          <w:szCs w:val="24"/>
        </w:rPr>
        <w:t>2017</w:t>
      </w:r>
      <w:r>
        <w:rPr>
          <w:rFonts w:hint="eastAsia" w:ascii="宋体" w:hAnsi="宋体" w:eastAsia="宋体" w:cs="宋体"/>
          <w:spacing w:val="6"/>
          <w:sz w:val="24"/>
          <w:szCs w:val="24"/>
        </w:rPr>
        <w:t>〔</w:t>
      </w:r>
      <w:r>
        <w:rPr>
          <w:rFonts w:ascii="宋体" w:hAnsi="宋体" w:eastAsia="宋体" w:cs="宋体"/>
          <w:spacing w:val="6"/>
          <w:sz w:val="24"/>
          <w:szCs w:val="24"/>
        </w:rPr>
        <w:t>141</w:t>
      </w:r>
      <w:r>
        <w:rPr>
          <w:rFonts w:hint="eastAsia" w:ascii="宋体" w:hAnsi="宋体" w:eastAsia="宋体" w:cs="宋体"/>
          <w:spacing w:val="6"/>
          <w:sz w:val="24"/>
          <w:szCs w:val="24"/>
        </w:rPr>
        <w:t>〕号）的规定：</w:t>
      </w:r>
      <w:bookmarkEnd w:id="249"/>
    </w:p>
    <w:p>
      <w:pPr>
        <w:spacing w:line="276" w:lineRule="auto"/>
        <w:ind w:firstLine="449" w:firstLineChars="196"/>
        <w:outlineLvl w:val="0"/>
        <w:rPr>
          <w:rFonts w:ascii="宋体" w:hAnsi="宋体" w:eastAsia="宋体" w:cs="宋体"/>
          <w:sz w:val="24"/>
          <w:szCs w:val="24"/>
        </w:rPr>
      </w:pPr>
      <w:bookmarkStart w:id="250" w:name="_Toc1646"/>
      <w:r>
        <w:rPr>
          <w:rFonts w:hint="eastAsia" w:ascii="宋体" w:hAnsi="宋体" w:eastAsia="宋体" w:cs="宋体"/>
          <w:sz w:val="24"/>
          <w:szCs w:val="24"/>
        </w:rPr>
        <w:t>一、享受政府采购支持政策的残疾人福利性单位应当同时满足以下条件：</w:t>
      </w:r>
      <w:bookmarkEnd w:id="250"/>
    </w:p>
    <w:p>
      <w:pPr>
        <w:spacing w:line="276" w:lineRule="auto"/>
        <w:ind w:firstLine="449" w:firstLineChars="196"/>
        <w:outlineLvl w:val="0"/>
        <w:rPr>
          <w:rFonts w:ascii="宋体" w:hAnsi="宋体" w:eastAsia="宋体" w:cs="宋体"/>
          <w:sz w:val="24"/>
          <w:szCs w:val="24"/>
        </w:rPr>
      </w:pPr>
      <w:bookmarkStart w:id="251" w:name="_Toc29765"/>
      <w:r>
        <w:rPr>
          <w:rFonts w:hint="eastAsia" w:ascii="宋体" w:hAnsi="宋体" w:eastAsia="宋体" w:cs="宋体"/>
          <w:sz w:val="24"/>
          <w:szCs w:val="24"/>
        </w:rPr>
        <w:t>（一）安置的残疾人占本单位在职职工人数的比例不低于</w:t>
      </w:r>
      <w:r>
        <w:rPr>
          <w:rFonts w:ascii="宋体" w:hAnsi="宋体" w:eastAsia="宋体" w:cs="宋体"/>
          <w:sz w:val="24"/>
          <w:szCs w:val="24"/>
        </w:rPr>
        <w:t>25%</w:t>
      </w:r>
      <w:r>
        <w:rPr>
          <w:rFonts w:hint="eastAsia" w:ascii="宋体" w:hAnsi="宋体" w:eastAsia="宋体" w:cs="宋体"/>
          <w:sz w:val="24"/>
          <w:szCs w:val="24"/>
        </w:rPr>
        <w:t>（含</w:t>
      </w:r>
      <w:r>
        <w:rPr>
          <w:rFonts w:ascii="宋体" w:hAnsi="宋体" w:eastAsia="宋体" w:cs="宋体"/>
          <w:sz w:val="24"/>
          <w:szCs w:val="24"/>
        </w:rPr>
        <w:t>25%</w:t>
      </w:r>
      <w:r>
        <w:rPr>
          <w:rFonts w:hint="eastAsia" w:ascii="宋体" w:hAnsi="宋体" w:eastAsia="宋体" w:cs="宋体"/>
          <w:sz w:val="24"/>
          <w:szCs w:val="24"/>
        </w:rPr>
        <w:t>），并且安置的残疾人人数不少于</w:t>
      </w:r>
      <w:r>
        <w:rPr>
          <w:rFonts w:ascii="宋体" w:hAnsi="宋体" w:eastAsia="宋体" w:cs="宋体"/>
          <w:sz w:val="24"/>
          <w:szCs w:val="24"/>
        </w:rPr>
        <w:t>10</w:t>
      </w:r>
      <w:r>
        <w:rPr>
          <w:rFonts w:hint="eastAsia" w:ascii="宋体" w:hAnsi="宋体" w:eastAsia="宋体" w:cs="宋体"/>
          <w:sz w:val="24"/>
          <w:szCs w:val="24"/>
        </w:rPr>
        <w:t>人（含</w:t>
      </w:r>
      <w:r>
        <w:rPr>
          <w:rFonts w:ascii="宋体" w:hAnsi="宋体" w:eastAsia="宋体" w:cs="宋体"/>
          <w:sz w:val="24"/>
          <w:szCs w:val="24"/>
        </w:rPr>
        <w:t>10</w:t>
      </w:r>
      <w:r>
        <w:rPr>
          <w:rFonts w:hint="eastAsia" w:ascii="宋体" w:hAnsi="宋体" w:eastAsia="宋体" w:cs="宋体"/>
          <w:sz w:val="24"/>
          <w:szCs w:val="24"/>
        </w:rPr>
        <w:t>人）；</w:t>
      </w:r>
      <w:bookmarkEnd w:id="251"/>
    </w:p>
    <w:p>
      <w:pPr>
        <w:spacing w:line="276" w:lineRule="auto"/>
        <w:ind w:firstLine="449" w:firstLineChars="196"/>
        <w:outlineLvl w:val="0"/>
        <w:rPr>
          <w:rFonts w:ascii="宋体" w:hAnsi="宋体" w:eastAsia="宋体" w:cs="宋体"/>
          <w:sz w:val="24"/>
          <w:szCs w:val="24"/>
        </w:rPr>
      </w:pPr>
      <w:bookmarkStart w:id="252" w:name="_Toc4696"/>
      <w:r>
        <w:rPr>
          <w:rFonts w:hint="eastAsia" w:ascii="宋体" w:hAnsi="宋体" w:eastAsia="宋体" w:cs="宋体"/>
          <w:sz w:val="24"/>
          <w:szCs w:val="24"/>
        </w:rPr>
        <w:t>（二）依法与安置的每位残疾人签订了一年以上（含一年）的劳动合同或服务协议；</w:t>
      </w:r>
      <w:bookmarkEnd w:id="252"/>
    </w:p>
    <w:p>
      <w:pPr>
        <w:spacing w:line="276" w:lineRule="auto"/>
        <w:ind w:firstLine="449" w:firstLineChars="196"/>
        <w:outlineLvl w:val="0"/>
        <w:rPr>
          <w:rFonts w:ascii="宋体" w:hAnsi="宋体" w:eastAsia="宋体" w:cs="宋体"/>
          <w:sz w:val="24"/>
          <w:szCs w:val="24"/>
        </w:rPr>
      </w:pPr>
      <w:bookmarkStart w:id="253" w:name="_Toc4170"/>
      <w:r>
        <w:rPr>
          <w:rFonts w:hint="eastAsia" w:ascii="宋体" w:hAnsi="宋体" w:eastAsia="宋体" w:cs="宋体"/>
          <w:sz w:val="24"/>
          <w:szCs w:val="24"/>
        </w:rPr>
        <w:t>（三）为安置的每位残疾人按月足额缴纳了基本养老保险、基本医疗保险、失业保险、工伤保险和生育保险等社会保险费；</w:t>
      </w:r>
      <w:bookmarkEnd w:id="253"/>
    </w:p>
    <w:p>
      <w:pPr>
        <w:spacing w:line="276" w:lineRule="auto"/>
        <w:ind w:firstLine="449" w:firstLineChars="196"/>
        <w:outlineLvl w:val="0"/>
        <w:rPr>
          <w:rFonts w:ascii="宋体" w:hAnsi="宋体" w:eastAsia="宋体" w:cs="宋体"/>
          <w:sz w:val="24"/>
          <w:szCs w:val="24"/>
        </w:rPr>
      </w:pPr>
      <w:bookmarkStart w:id="254" w:name="_Toc8483"/>
      <w:r>
        <w:rPr>
          <w:rFonts w:hint="eastAsia" w:ascii="宋体" w:hAnsi="宋体" w:eastAsia="宋体" w:cs="宋体"/>
          <w:sz w:val="24"/>
          <w:szCs w:val="24"/>
        </w:rPr>
        <w:t>（四）通过银行等金融机构向安置的每位残疾人，按月支付了不低于单位所在区县适用的经省级人民政府批准的月最低工资标准的工资；</w:t>
      </w:r>
      <w:bookmarkEnd w:id="254"/>
    </w:p>
    <w:p>
      <w:pPr>
        <w:spacing w:line="276" w:lineRule="auto"/>
        <w:ind w:firstLine="449" w:firstLineChars="196"/>
        <w:outlineLvl w:val="0"/>
        <w:rPr>
          <w:rFonts w:ascii="宋体" w:hAnsi="宋体" w:eastAsia="宋体" w:cs="宋体"/>
          <w:sz w:val="24"/>
          <w:szCs w:val="24"/>
        </w:rPr>
      </w:pPr>
      <w:bookmarkStart w:id="255" w:name="_Toc21754"/>
      <w:r>
        <w:rPr>
          <w:rFonts w:hint="eastAsia" w:ascii="宋体" w:hAnsi="宋体" w:eastAsia="宋体" w:cs="宋体"/>
          <w:sz w:val="24"/>
          <w:szCs w:val="24"/>
        </w:rPr>
        <w:t>（五）提供本单位制造的货物、承担的工程或者服务（以下简称产品），或者提供其他残疾人福利性单位制造的货物（不包括使用非残疾人福利性单位注册商标的货物）。</w:t>
      </w:r>
      <w:bookmarkEnd w:id="255"/>
    </w:p>
    <w:p>
      <w:pPr>
        <w:spacing w:line="276" w:lineRule="auto"/>
        <w:ind w:firstLine="449" w:firstLineChars="196"/>
        <w:outlineLvl w:val="0"/>
        <w:rPr>
          <w:rFonts w:ascii="宋体" w:hAnsi="宋体" w:eastAsia="宋体" w:cs="宋体"/>
          <w:b/>
          <w:sz w:val="24"/>
          <w:szCs w:val="24"/>
        </w:rPr>
      </w:pPr>
      <w:bookmarkStart w:id="256" w:name="_Toc13052"/>
      <w:r>
        <w:rPr>
          <w:rFonts w:hint="eastAsia" w:ascii="宋体" w:hAnsi="宋体" w:eastAsia="宋体" w:cs="宋体"/>
          <w:b/>
          <w:sz w:val="24"/>
          <w:szCs w:val="24"/>
        </w:rPr>
        <w:t>成交、成交供应商为残疾人福利性单位的，采购人或者其委托的采购代理机构应当随成交、成交结果同时公告其《残疾人福利性单位声明函》，接受社会监督。</w:t>
      </w:r>
      <w:bookmarkEnd w:id="256"/>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附件4-3：</w:t>
      </w:r>
    </w:p>
    <w:p>
      <w:pPr>
        <w:spacing w:before="49"/>
        <w:ind w:left="417" w:right="689"/>
        <w:jc w:val="center"/>
        <w:rPr>
          <w:rFonts w:hint="eastAsia" w:ascii="楷体" w:hAnsi="楷体" w:eastAsia="楷体" w:cs="楷体"/>
          <w:b/>
          <w:bCs/>
          <w:sz w:val="36"/>
          <w:szCs w:val="36"/>
          <w:lang w:val="zh-CN" w:eastAsia="zh-CN" w:bidi="zh-CN"/>
        </w:rPr>
      </w:pP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监狱企业证明文件</w:t>
      </w:r>
    </w:p>
    <w:p>
      <w:pPr>
        <w:spacing w:line="276" w:lineRule="auto"/>
        <w:rPr>
          <w:rFonts w:ascii="宋体" w:hAnsi="宋体" w:eastAsia="宋体"/>
          <w:sz w:val="24"/>
        </w:rPr>
      </w:pPr>
    </w:p>
    <w:p>
      <w:pPr>
        <w:widowControl/>
        <w:spacing w:line="276" w:lineRule="auto"/>
        <w:ind w:firstLine="458" w:firstLineChars="200"/>
        <w:rPr>
          <w:rFonts w:ascii="宋体" w:hAnsi="宋体" w:eastAsia="宋体"/>
          <w:sz w:val="24"/>
        </w:rPr>
      </w:pPr>
      <w:r>
        <w:rPr>
          <w:rFonts w:hint="eastAsia" w:ascii="宋体" w:hAnsi="宋体" w:eastAsia="宋体"/>
          <w:sz w:val="24"/>
        </w:rPr>
        <w:t>（</w:t>
      </w:r>
      <w:r>
        <w:rPr>
          <w:rFonts w:ascii="宋体" w:hAnsi="宋体" w:eastAsia="宋体"/>
          <w:sz w:val="24"/>
        </w:rPr>
        <w:t>监狱企业参加政府采购活动时，应当提供由省级以上监狱管理局、戒毒管理局(含新疆生产建设兵团)出具的属于监狱企业的证明文件。</w:t>
      </w:r>
      <w:r>
        <w:rPr>
          <w:rFonts w:hint="eastAsia" w:ascii="宋体" w:hAnsi="宋体" w:eastAsia="宋体"/>
          <w:sz w:val="24"/>
        </w:rPr>
        <w:t>在响应文件中提供复印件，并准备原件供核验。）</w:t>
      </w:r>
    </w:p>
    <w:p>
      <w:pPr>
        <w:widowControl/>
        <w:spacing w:line="276" w:lineRule="auto"/>
        <w:rPr>
          <w:rFonts w:ascii="宋体" w:hAnsi="宋体" w:eastAsia="宋体"/>
          <w:sz w:val="28"/>
          <w:szCs w:val="28"/>
        </w:rPr>
        <w:sectPr>
          <w:pgSz w:w="11906" w:h="16838"/>
          <w:pgMar w:top="1418" w:right="1247" w:bottom="1418" w:left="1418" w:header="680" w:footer="680" w:gutter="0"/>
          <w:cols w:space="720" w:num="1"/>
          <w:docGrid w:type="linesAndChars" w:linePitch="466" w:charSpace="-2298"/>
        </w:sectPr>
      </w:pP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附件5：</w:t>
      </w:r>
    </w:p>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资格审查资料</w:t>
      </w:r>
    </w:p>
    <w:p>
      <w:pPr>
        <w:pStyle w:val="12"/>
        <w:spacing w:line="360" w:lineRule="auto"/>
        <w:ind w:firstLine="420" w:firstLineChars="200"/>
        <w:jc w:val="center"/>
        <w:rPr>
          <w:rFonts w:ascii="宋体" w:hAnsi="宋体" w:eastAsia="宋体"/>
          <w:sz w:val="21"/>
          <w:szCs w:val="21"/>
        </w:rPr>
      </w:pPr>
    </w:p>
    <w:p>
      <w:pPr>
        <w:pStyle w:val="12"/>
        <w:spacing w:line="360" w:lineRule="auto"/>
        <w:ind w:firstLine="420" w:firstLineChars="200"/>
        <w:jc w:val="center"/>
        <w:rPr>
          <w:rFonts w:ascii="宋体" w:hAnsi="宋体" w:eastAsia="宋体"/>
          <w:sz w:val="21"/>
          <w:szCs w:val="21"/>
        </w:rPr>
      </w:pPr>
      <w:r>
        <w:rPr>
          <w:rFonts w:ascii="宋体" w:hAnsi="宋体" w:eastAsia="宋体"/>
          <w:sz w:val="21"/>
          <w:szCs w:val="21"/>
        </w:rPr>
        <w:t>（一） 投标人基本情况表</w:t>
      </w:r>
    </w:p>
    <w:tbl>
      <w:tblPr>
        <w:tblStyle w:val="21"/>
        <w:tblW w:w="8888" w:type="dxa"/>
        <w:tblInd w:w="104"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2047"/>
        <w:gridCol w:w="898"/>
        <w:gridCol w:w="1027"/>
        <w:gridCol w:w="1287"/>
        <w:gridCol w:w="413"/>
        <w:gridCol w:w="714"/>
        <w:gridCol w:w="988"/>
        <w:gridCol w:w="285"/>
        <w:gridCol w:w="1229"/>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36"/>
              <w:spacing w:line="360" w:lineRule="exact"/>
              <w:rPr>
                <w:rFonts w:ascii="宋体" w:hAnsi="宋体" w:cs="宋体"/>
                <w:sz w:val="24"/>
                <w:szCs w:val="24"/>
              </w:rPr>
            </w:pPr>
            <w:r>
              <w:rPr>
                <w:rFonts w:ascii="宋体" w:hAnsi="宋体" w:cs="宋体"/>
                <w:sz w:val="24"/>
                <w:szCs w:val="24"/>
              </w:rPr>
              <w:t>投标人名称</w:t>
            </w:r>
          </w:p>
        </w:tc>
        <w:tc>
          <w:tcPr>
            <w:tcW w:w="6841" w:type="dxa"/>
            <w:gridSpan w:val="8"/>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36"/>
              <w:spacing w:line="360" w:lineRule="exact"/>
              <w:rPr>
                <w:rFonts w:ascii="宋体" w:hAnsi="宋体" w:cs="宋体"/>
                <w:sz w:val="24"/>
                <w:szCs w:val="24"/>
              </w:rPr>
            </w:pPr>
            <w:r>
              <w:rPr>
                <w:rFonts w:ascii="宋体" w:hAnsi="宋体" w:cs="宋体"/>
                <w:sz w:val="24"/>
                <w:szCs w:val="24"/>
              </w:rPr>
              <w:t>注册地址</w:t>
            </w:r>
          </w:p>
        </w:tc>
        <w:tc>
          <w:tcPr>
            <w:tcW w:w="3212" w:type="dxa"/>
            <w:gridSpan w:val="3"/>
          </w:tcPr>
          <w:p>
            <w:pPr>
              <w:spacing w:line="360" w:lineRule="exact"/>
              <w:ind w:firstLine="480" w:firstLineChars="200"/>
              <w:rPr>
                <w:rFonts w:ascii="宋体" w:hAnsi="宋体"/>
                <w:sz w:val="24"/>
                <w:szCs w:val="24"/>
              </w:rPr>
            </w:pPr>
          </w:p>
        </w:tc>
        <w:tc>
          <w:tcPr>
            <w:tcW w:w="1127" w:type="dxa"/>
            <w:gridSpan w:val="2"/>
          </w:tcPr>
          <w:p>
            <w:pPr>
              <w:pStyle w:val="36"/>
              <w:spacing w:line="360" w:lineRule="exact"/>
              <w:rPr>
                <w:rFonts w:ascii="宋体" w:hAnsi="宋体" w:cs="宋体"/>
                <w:sz w:val="24"/>
                <w:szCs w:val="24"/>
              </w:rPr>
            </w:pPr>
            <w:r>
              <w:rPr>
                <w:rFonts w:ascii="宋体" w:hAnsi="宋体" w:cs="宋体"/>
                <w:sz w:val="24"/>
                <w:szCs w:val="24"/>
              </w:rPr>
              <w:t>邮政编码</w:t>
            </w:r>
          </w:p>
        </w:tc>
        <w:tc>
          <w:tcPr>
            <w:tcW w:w="2502" w:type="dxa"/>
            <w:gridSpan w:val="3"/>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388" w:hRule="exact"/>
        </w:trPr>
        <w:tc>
          <w:tcPr>
            <w:tcW w:w="2047" w:type="dxa"/>
            <w:vMerge w:val="restart"/>
          </w:tcPr>
          <w:p>
            <w:pPr>
              <w:pStyle w:val="36"/>
              <w:spacing w:line="360" w:lineRule="exact"/>
              <w:ind w:firstLine="480" w:firstLineChars="200"/>
              <w:rPr>
                <w:rFonts w:ascii="宋体" w:hAnsi="宋体" w:cs="宋体"/>
                <w:sz w:val="24"/>
                <w:szCs w:val="24"/>
              </w:rPr>
            </w:pPr>
          </w:p>
          <w:p>
            <w:pPr>
              <w:pStyle w:val="36"/>
              <w:spacing w:line="360" w:lineRule="exact"/>
              <w:rPr>
                <w:rFonts w:ascii="宋体" w:hAnsi="宋体" w:cs="宋体"/>
                <w:sz w:val="24"/>
                <w:szCs w:val="24"/>
              </w:rPr>
            </w:pPr>
            <w:r>
              <w:rPr>
                <w:rFonts w:ascii="宋体" w:hAnsi="宋体" w:cs="宋体"/>
                <w:sz w:val="24"/>
                <w:szCs w:val="24"/>
              </w:rPr>
              <w:t>联系方式</w:t>
            </w:r>
          </w:p>
        </w:tc>
        <w:tc>
          <w:tcPr>
            <w:tcW w:w="898" w:type="dxa"/>
          </w:tcPr>
          <w:p>
            <w:pPr>
              <w:pStyle w:val="36"/>
              <w:spacing w:line="360" w:lineRule="exact"/>
              <w:rPr>
                <w:rFonts w:ascii="宋体" w:hAnsi="宋体" w:cs="宋体"/>
                <w:sz w:val="24"/>
                <w:szCs w:val="24"/>
              </w:rPr>
            </w:pPr>
            <w:r>
              <w:rPr>
                <w:rFonts w:ascii="宋体" w:hAnsi="宋体" w:cs="宋体"/>
                <w:sz w:val="24"/>
                <w:szCs w:val="24"/>
              </w:rPr>
              <w:t>联系人</w:t>
            </w:r>
          </w:p>
        </w:tc>
        <w:tc>
          <w:tcPr>
            <w:tcW w:w="2314" w:type="dxa"/>
            <w:gridSpan w:val="2"/>
          </w:tcPr>
          <w:p>
            <w:pPr>
              <w:spacing w:line="360" w:lineRule="exact"/>
              <w:ind w:firstLine="480" w:firstLineChars="200"/>
              <w:rPr>
                <w:rFonts w:ascii="宋体" w:hAnsi="宋体"/>
                <w:sz w:val="24"/>
                <w:szCs w:val="24"/>
              </w:rPr>
            </w:pPr>
          </w:p>
        </w:tc>
        <w:tc>
          <w:tcPr>
            <w:tcW w:w="1127" w:type="dxa"/>
            <w:gridSpan w:val="2"/>
          </w:tcPr>
          <w:p>
            <w:pPr>
              <w:pStyle w:val="36"/>
              <w:spacing w:line="360" w:lineRule="exact"/>
              <w:rPr>
                <w:rFonts w:ascii="宋体" w:hAnsi="宋体" w:cs="宋体"/>
                <w:sz w:val="24"/>
                <w:szCs w:val="24"/>
              </w:rPr>
            </w:pPr>
            <w:r>
              <w:rPr>
                <w:rFonts w:ascii="宋体" w:hAnsi="宋体" w:cs="宋体"/>
                <w:sz w:val="24"/>
                <w:szCs w:val="24"/>
              </w:rPr>
              <w:t>电 话</w:t>
            </w:r>
          </w:p>
        </w:tc>
        <w:tc>
          <w:tcPr>
            <w:tcW w:w="2502" w:type="dxa"/>
            <w:gridSpan w:val="3"/>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39" w:hRule="exact"/>
        </w:trPr>
        <w:tc>
          <w:tcPr>
            <w:tcW w:w="2047" w:type="dxa"/>
            <w:vMerge w:val="continue"/>
          </w:tcPr>
          <w:p>
            <w:pPr>
              <w:spacing w:line="360" w:lineRule="exact"/>
              <w:ind w:firstLine="480" w:firstLineChars="200"/>
              <w:rPr>
                <w:rFonts w:ascii="宋体" w:hAnsi="宋体"/>
                <w:sz w:val="24"/>
                <w:szCs w:val="24"/>
              </w:rPr>
            </w:pPr>
          </w:p>
        </w:tc>
        <w:tc>
          <w:tcPr>
            <w:tcW w:w="898" w:type="dxa"/>
          </w:tcPr>
          <w:p>
            <w:pPr>
              <w:pStyle w:val="36"/>
              <w:tabs>
                <w:tab w:val="left" w:pos="431"/>
              </w:tabs>
              <w:spacing w:line="360" w:lineRule="exact"/>
              <w:rPr>
                <w:rFonts w:ascii="宋体" w:hAnsi="宋体" w:cs="宋体"/>
                <w:sz w:val="24"/>
                <w:szCs w:val="24"/>
              </w:rPr>
            </w:pPr>
            <w:r>
              <w:rPr>
                <w:rFonts w:ascii="宋体" w:hAnsi="宋体" w:cs="宋体"/>
                <w:sz w:val="24"/>
                <w:szCs w:val="24"/>
              </w:rPr>
              <w:t>传</w:t>
            </w:r>
            <w:r>
              <w:rPr>
                <w:rFonts w:ascii="宋体" w:hAnsi="宋体" w:cs="宋体"/>
                <w:sz w:val="24"/>
                <w:szCs w:val="24"/>
              </w:rPr>
              <w:tab/>
            </w:r>
            <w:r>
              <w:rPr>
                <w:rFonts w:ascii="宋体" w:hAnsi="宋体" w:cs="宋体"/>
                <w:sz w:val="24"/>
                <w:szCs w:val="24"/>
              </w:rPr>
              <w:t>真</w:t>
            </w:r>
          </w:p>
        </w:tc>
        <w:tc>
          <w:tcPr>
            <w:tcW w:w="2314" w:type="dxa"/>
            <w:gridSpan w:val="2"/>
          </w:tcPr>
          <w:p>
            <w:pPr>
              <w:spacing w:line="360" w:lineRule="exact"/>
              <w:ind w:firstLine="480" w:firstLineChars="200"/>
              <w:rPr>
                <w:rFonts w:ascii="宋体" w:hAnsi="宋体"/>
                <w:sz w:val="24"/>
                <w:szCs w:val="24"/>
              </w:rPr>
            </w:pPr>
          </w:p>
        </w:tc>
        <w:tc>
          <w:tcPr>
            <w:tcW w:w="1127" w:type="dxa"/>
            <w:gridSpan w:val="2"/>
          </w:tcPr>
          <w:p>
            <w:pPr>
              <w:pStyle w:val="36"/>
              <w:spacing w:line="360" w:lineRule="exact"/>
              <w:rPr>
                <w:rFonts w:ascii="宋体" w:hAnsi="宋体" w:cs="宋体"/>
                <w:sz w:val="24"/>
                <w:szCs w:val="24"/>
              </w:rPr>
            </w:pPr>
            <w:r>
              <w:rPr>
                <w:rFonts w:ascii="宋体" w:hAnsi="宋体" w:cs="宋体"/>
                <w:sz w:val="24"/>
                <w:szCs w:val="24"/>
              </w:rPr>
              <w:t>电子邮件</w:t>
            </w:r>
          </w:p>
        </w:tc>
        <w:tc>
          <w:tcPr>
            <w:tcW w:w="2502" w:type="dxa"/>
            <w:gridSpan w:val="3"/>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36"/>
              <w:spacing w:line="360" w:lineRule="exact"/>
              <w:rPr>
                <w:rFonts w:ascii="宋体" w:hAnsi="宋体" w:cs="宋体"/>
                <w:sz w:val="24"/>
                <w:szCs w:val="24"/>
              </w:rPr>
            </w:pPr>
            <w:r>
              <w:rPr>
                <w:rFonts w:ascii="宋体" w:hAnsi="宋体" w:cs="宋体"/>
                <w:sz w:val="24"/>
                <w:szCs w:val="24"/>
              </w:rPr>
              <w:t>法定代表人</w:t>
            </w:r>
          </w:p>
        </w:tc>
        <w:tc>
          <w:tcPr>
            <w:tcW w:w="898" w:type="dxa"/>
          </w:tcPr>
          <w:p>
            <w:pPr>
              <w:pStyle w:val="36"/>
              <w:spacing w:line="360" w:lineRule="exact"/>
              <w:rPr>
                <w:rFonts w:ascii="宋体" w:hAnsi="宋体" w:cs="宋体"/>
                <w:sz w:val="24"/>
                <w:szCs w:val="24"/>
              </w:rPr>
            </w:pPr>
            <w:r>
              <w:rPr>
                <w:rFonts w:ascii="宋体" w:hAnsi="宋体" w:cs="宋体"/>
                <w:sz w:val="24"/>
                <w:szCs w:val="24"/>
              </w:rPr>
              <w:t>姓名</w:t>
            </w:r>
          </w:p>
        </w:tc>
        <w:tc>
          <w:tcPr>
            <w:tcW w:w="1027" w:type="dxa"/>
          </w:tcPr>
          <w:p>
            <w:pPr>
              <w:spacing w:line="360" w:lineRule="exact"/>
              <w:ind w:firstLine="480" w:firstLineChars="200"/>
              <w:rPr>
                <w:rFonts w:ascii="宋体" w:hAnsi="宋体"/>
                <w:sz w:val="24"/>
                <w:szCs w:val="24"/>
              </w:rPr>
            </w:pPr>
          </w:p>
        </w:tc>
        <w:tc>
          <w:tcPr>
            <w:tcW w:w="1287" w:type="dxa"/>
          </w:tcPr>
          <w:p>
            <w:pPr>
              <w:pStyle w:val="36"/>
              <w:spacing w:line="360" w:lineRule="exact"/>
              <w:rPr>
                <w:rFonts w:ascii="宋体" w:hAnsi="宋体" w:cs="宋体"/>
                <w:sz w:val="24"/>
                <w:szCs w:val="24"/>
              </w:rPr>
            </w:pPr>
            <w:r>
              <w:rPr>
                <w:rFonts w:ascii="宋体" w:hAnsi="宋体" w:cs="宋体"/>
                <w:sz w:val="24"/>
                <w:szCs w:val="24"/>
              </w:rPr>
              <w:t>技术职称</w:t>
            </w:r>
          </w:p>
        </w:tc>
        <w:tc>
          <w:tcPr>
            <w:tcW w:w="1127" w:type="dxa"/>
            <w:gridSpan w:val="2"/>
          </w:tcPr>
          <w:p>
            <w:pPr>
              <w:spacing w:line="360" w:lineRule="exact"/>
              <w:ind w:firstLine="480" w:firstLineChars="200"/>
              <w:rPr>
                <w:rFonts w:ascii="宋体" w:hAnsi="宋体"/>
                <w:sz w:val="24"/>
                <w:szCs w:val="24"/>
              </w:rPr>
            </w:pPr>
          </w:p>
        </w:tc>
        <w:tc>
          <w:tcPr>
            <w:tcW w:w="1273" w:type="dxa"/>
            <w:gridSpan w:val="2"/>
          </w:tcPr>
          <w:p>
            <w:pPr>
              <w:pStyle w:val="36"/>
              <w:spacing w:line="360" w:lineRule="exact"/>
              <w:ind w:firstLine="480" w:firstLineChars="200"/>
              <w:rPr>
                <w:rFonts w:ascii="宋体" w:hAnsi="宋体" w:cs="宋体"/>
                <w:sz w:val="24"/>
                <w:szCs w:val="24"/>
              </w:rPr>
            </w:pPr>
            <w:r>
              <w:rPr>
                <w:rFonts w:ascii="宋体" w:hAnsi="宋体" w:cs="宋体"/>
                <w:sz w:val="24"/>
                <w:szCs w:val="24"/>
              </w:rPr>
              <w:t>电话</w:t>
            </w:r>
          </w:p>
        </w:tc>
        <w:tc>
          <w:tcPr>
            <w:tcW w:w="1229" w:type="dxa"/>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36"/>
              <w:spacing w:line="360" w:lineRule="exact"/>
              <w:rPr>
                <w:rFonts w:ascii="宋体" w:hAnsi="宋体" w:cs="宋体"/>
                <w:sz w:val="24"/>
                <w:szCs w:val="24"/>
              </w:rPr>
            </w:pPr>
            <w:r>
              <w:rPr>
                <w:rFonts w:ascii="宋体" w:hAnsi="宋体" w:cs="宋体"/>
                <w:sz w:val="24"/>
                <w:szCs w:val="24"/>
              </w:rPr>
              <w:t>技术负责人</w:t>
            </w:r>
          </w:p>
        </w:tc>
        <w:tc>
          <w:tcPr>
            <w:tcW w:w="898" w:type="dxa"/>
          </w:tcPr>
          <w:p>
            <w:pPr>
              <w:pStyle w:val="36"/>
              <w:spacing w:line="360" w:lineRule="exact"/>
              <w:rPr>
                <w:rFonts w:ascii="宋体" w:hAnsi="宋体" w:cs="宋体"/>
                <w:sz w:val="24"/>
                <w:szCs w:val="24"/>
              </w:rPr>
            </w:pPr>
            <w:r>
              <w:rPr>
                <w:rFonts w:ascii="宋体" w:hAnsi="宋体" w:cs="宋体"/>
                <w:sz w:val="24"/>
                <w:szCs w:val="24"/>
              </w:rPr>
              <w:t>姓名</w:t>
            </w:r>
          </w:p>
        </w:tc>
        <w:tc>
          <w:tcPr>
            <w:tcW w:w="1027" w:type="dxa"/>
          </w:tcPr>
          <w:p>
            <w:pPr>
              <w:spacing w:line="360" w:lineRule="exact"/>
              <w:ind w:firstLine="480" w:firstLineChars="200"/>
              <w:rPr>
                <w:rFonts w:ascii="宋体" w:hAnsi="宋体"/>
                <w:sz w:val="24"/>
                <w:szCs w:val="24"/>
              </w:rPr>
            </w:pPr>
          </w:p>
        </w:tc>
        <w:tc>
          <w:tcPr>
            <w:tcW w:w="1287" w:type="dxa"/>
          </w:tcPr>
          <w:p>
            <w:pPr>
              <w:pStyle w:val="36"/>
              <w:spacing w:line="360" w:lineRule="exact"/>
              <w:rPr>
                <w:rFonts w:ascii="宋体" w:hAnsi="宋体" w:cs="宋体"/>
                <w:sz w:val="24"/>
                <w:szCs w:val="24"/>
              </w:rPr>
            </w:pPr>
            <w:r>
              <w:rPr>
                <w:rFonts w:ascii="宋体" w:hAnsi="宋体" w:cs="宋体"/>
                <w:sz w:val="24"/>
                <w:szCs w:val="24"/>
              </w:rPr>
              <w:t>技术职称</w:t>
            </w:r>
          </w:p>
        </w:tc>
        <w:tc>
          <w:tcPr>
            <w:tcW w:w="1127" w:type="dxa"/>
            <w:gridSpan w:val="2"/>
          </w:tcPr>
          <w:p>
            <w:pPr>
              <w:spacing w:line="360" w:lineRule="exact"/>
              <w:ind w:firstLine="480" w:firstLineChars="200"/>
              <w:rPr>
                <w:rFonts w:ascii="宋体" w:hAnsi="宋体"/>
                <w:sz w:val="24"/>
                <w:szCs w:val="24"/>
              </w:rPr>
            </w:pPr>
          </w:p>
        </w:tc>
        <w:tc>
          <w:tcPr>
            <w:tcW w:w="1273" w:type="dxa"/>
            <w:gridSpan w:val="2"/>
          </w:tcPr>
          <w:p>
            <w:pPr>
              <w:pStyle w:val="36"/>
              <w:spacing w:line="360" w:lineRule="exact"/>
              <w:ind w:firstLine="480" w:firstLineChars="200"/>
              <w:rPr>
                <w:rFonts w:ascii="宋体" w:hAnsi="宋体" w:cs="宋体"/>
                <w:sz w:val="24"/>
                <w:szCs w:val="24"/>
              </w:rPr>
            </w:pPr>
            <w:r>
              <w:rPr>
                <w:rFonts w:ascii="宋体" w:hAnsi="宋体" w:cs="宋体"/>
                <w:sz w:val="24"/>
                <w:szCs w:val="24"/>
              </w:rPr>
              <w:t>电话</w:t>
            </w:r>
          </w:p>
        </w:tc>
        <w:tc>
          <w:tcPr>
            <w:tcW w:w="1229" w:type="dxa"/>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36"/>
              <w:spacing w:line="360" w:lineRule="exact"/>
              <w:rPr>
                <w:rFonts w:ascii="宋体" w:hAnsi="宋体" w:cs="宋体"/>
                <w:sz w:val="24"/>
                <w:szCs w:val="24"/>
              </w:rPr>
            </w:pPr>
            <w:r>
              <w:rPr>
                <w:rFonts w:ascii="宋体" w:hAnsi="宋体" w:cs="宋体"/>
                <w:sz w:val="24"/>
                <w:szCs w:val="24"/>
              </w:rPr>
              <w:t>企业监理资质证书</w:t>
            </w:r>
          </w:p>
        </w:tc>
        <w:tc>
          <w:tcPr>
            <w:tcW w:w="6841" w:type="dxa"/>
            <w:gridSpan w:val="8"/>
          </w:tcPr>
          <w:p>
            <w:pPr>
              <w:pStyle w:val="36"/>
              <w:tabs>
                <w:tab w:val="left" w:pos="3784"/>
                <w:tab w:val="left" w:pos="5047"/>
              </w:tabs>
              <w:spacing w:line="360" w:lineRule="exact"/>
              <w:ind w:firstLine="480" w:firstLineChars="200"/>
              <w:rPr>
                <w:rFonts w:ascii="宋体" w:hAnsi="宋体" w:cs="宋体"/>
                <w:sz w:val="24"/>
                <w:szCs w:val="24"/>
              </w:rPr>
            </w:pPr>
            <w:r>
              <w:rPr>
                <w:rFonts w:ascii="宋体" w:hAnsi="宋体" w:cs="宋体"/>
                <w:sz w:val="24"/>
                <w:szCs w:val="24"/>
              </w:rPr>
              <w:t>类型：</w:t>
            </w:r>
            <w:r>
              <w:rPr>
                <w:rFonts w:ascii="宋体" w:hAnsi="宋体" w:cs="宋体"/>
                <w:sz w:val="24"/>
                <w:szCs w:val="24"/>
              </w:rPr>
              <w:tab/>
            </w:r>
            <w:r>
              <w:rPr>
                <w:rFonts w:ascii="宋体" w:hAnsi="宋体" w:cs="宋体"/>
                <w:sz w:val="24"/>
                <w:szCs w:val="24"/>
              </w:rPr>
              <w:t>等级：</w:t>
            </w:r>
            <w:r>
              <w:rPr>
                <w:rFonts w:ascii="宋体" w:hAnsi="宋体" w:cs="宋体"/>
                <w:sz w:val="24"/>
                <w:szCs w:val="24"/>
              </w:rPr>
              <w:tab/>
            </w:r>
            <w:r>
              <w:rPr>
                <w:rFonts w:ascii="宋体" w:hAnsi="宋体" w:cs="宋体"/>
                <w:sz w:val="24"/>
                <w:szCs w:val="24"/>
              </w:rPr>
              <w:t>证书号：</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36"/>
              <w:spacing w:line="360" w:lineRule="exact"/>
              <w:rPr>
                <w:rFonts w:ascii="宋体" w:hAnsi="宋体" w:cs="宋体"/>
                <w:sz w:val="24"/>
                <w:szCs w:val="24"/>
              </w:rPr>
            </w:pPr>
            <w:r>
              <w:rPr>
                <w:rFonts w:ascii="宋体" w:hAnsi="宋体" w:cs="宋体"/>
                <w:sz w:val="24"/>
                <w:szCs w:val="24"/>
              </w:rPr>
              <w:t>营业执照号</w:t>
            </w:r>
          </w:p>
        </w:tc>
        <w:tc>
          <w:tcPr>
            <w:tcW w:w="3212" w:type="dxa"/>
            <w:gridSpan w:val="3"/>
          </w:tcPr>
          <w:p>
            <w:pPr>
              <w:spacing w:line="360" w:lineRule="exact"/>
              <w:ind w:firstLine="480" w:firstLineChars="200"/>
              <w:rPr>
                <w:rFonts w:ascii="宋体" w:hAnsi="宋体"/>
                <w:sz w:val="24"/>
                <w:szCs w:val="24"/>
              </w:rPr>
            </w:pPr>
          </w:p>
        </w:tc>
        <w:tc>
          <w:tcPr>
            <w:tcW w:w="3629" w:type="dxa"/>
            <w:gridSpan w:val="5"/>
          </w:tcPr>
          <w:p>
            <w:pPr>
              <w:pStyle w:val="36"/>
              <w:spacing w:line="360" w:lineRule="exact"/>
              <w:rPr>
                <w:rFonts w:ascii="宋体" w:hAnsi="宋体" w:cs="宋体"/>
                <w:sz w:val="24"/>
                <w:szCs w:val="24"/>
              </w:rPr>
            </w:pPr>
            <w:r>
              <w:rPr>
                <w:rFonts w:ascii="宋体" w:hAnsi="宋体" w:cs="宋体"/>
                <w:sz w:val="24"/>
                <w:szCs w:val="24"/>
              </w:rPr>
              <w:t>员工总人数：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36"/>
              <w:spacing w:line="360" w:lineRule="exact"/>
              <w:rPr>
                <w:rFonts w:ascii="宋体" w:hAnsi="宋体" w:cs="宋体"/>
                <w:sz w:val="24"/>
                <w:szCs w:val="24"/>
              </w:rPr>
            </w:pPr>
            <w:r>
              <w:rPr>
                <w:rFonts w:ascii="宋体" w:hAnsi="宋体" w:cs="宋体"/>
                <w:sz w:val="24"/>
                <w:szCs w:val="24"/>
              </w:rPr>
              <w:t>注册资本</w:t>
            </w:r>
          </w:p>
        </w:tc>
        <w:tc>
          <w:tcPr>
            <w:tcW w:w="3212" w:type="dxa"/>
            <w:gridSpan w:val="3"/>
          </w:tcPr>
          <w:p>
            <w:pPr>
              <w:spacing w:line="360" w:lineRule="exact"/>
              <w:ind w:firstLine="480" w:firstLineChars="200"/>
              <w:rPr>
                <w:rFonts w:ascii="宋体" w:hAnsi="宋体"/>
                <w:sz w:val="24"/>
                <w:szCs w:val="24"/>
              </w:rPr>
            </w:pPr>
          </w:p>
        </w:tc>
        <w:tc>
          <w:tcPr>
            <w:tcW w:w="413" w:type="dxa"/>
            <w:vMerge w:val="restart"/>
          </w:tcPr>
          <w:p>
            <w:pPr>
              <w:pStyle w:val="36"/>
              <w:spacing w:line="360" w:lineRule="exact"/>
              <w:rPr>
                <w:rFonts w:ascii="宋体" w:hAnsi="宋体" w:cs="宋体"/>
                <w:sz w:val="24"/>
                <w:szCs w:val="24"/>
              </w:rPr>
            </w:pPr>
          </w:p>
          <w:p>
            <w:pPr>
              <w:pStyle w:val="36"/>
              <w:spacing w:line="360" w:lineRule="exact"/>
              <w:rPr>
                <w:rFonts w:ascii="宋体" w:hAnsi="宋体" w:cs="宋体"/>
                <w:sz w:val="24"/>
                <w:szCs w:val="24"/>
              </w:rPr>
            </w:pPr>
            <w:r>
              <w:rPr>
                <w:rFonts w:ascii="宋体" w:hAnsi="宋体" w:cs="宋体"/>
                <w:sz w:val="24"/>
                <w:szCs w:val="24"/>
              </w:rPr>
              <w:t>其 中</w:t>
            </w:r>
          </w:p>
        </w:tc>
        <w:tc>
          <w:tcPr>
            <w:tcW w:w="1702" w:type="dxa"/>
            <w:gridSpan w:val="2"/>
          </w:tcPr>
          <w:p>
            <w:pPr>
              <w:pStyle w:val="36"/>
              <w:spacing w:line="360" w:lineRule="exact"/>
              <w:rPr>
                <w:rFonts w:ascii="宋体" w:hAnsi="宋体" w:cs="宋体"/>
                <w:sz w:val="24"/>
                <w:szCs w:val="24"/>
              </w:rPr>
            </w:pPr>
            <w:r>
              <w:rPr>
                <w:rFonts w:ascii="宋体" w:hAnsi="宋体" w:cs="宋体"/>
                <w:sz w:val="24"/>
                <w:szCs w:val="24"/>
              </w:rPr>
              <w:t>高级职称人员</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36"/>
              <w:spacing w:line="360" w:lineRule="exact"/>
              <w:rPr>
                <w:rFonts w:ascii="宋体" w:hAnsi="宋体" w:cs="宋体"/>
                <w:sz w:val="24"/>
                <w:szCs w:val="24"/>
              </w:rPr>
            </w:pPr>
            <w:r>
              <w:rPr>
                <w:rFonts w:ascii="宋体" w:hAnsi="宋体" w:cs="宋体"/>
                <w:sz w:val="24"/>
                <w:szCs w:val="24"/>
              </w:rPr>
              <w:t>成立日期</w:t>
            </w:r>
          </w:p>
        </w:tc>
        <w:tc>
          <w:tcPr>
            <w:tcW w:w="3212" w:type="dxa"/>
            <w:gridSpan w:val="3"/>
          </w:tcPr>
          <w:p>
            <w:pPr>
              <w:spacing w:line="360" w:lineRule="exact"/>
              <w:ind w:firstLine="480" w:firstLineChars="200"/>
              <w:rPr>
                <w:rFonts w:ascii="宋体" w:hAnsi="宋体"/>
                <w:sz w:val="24"/>
                <w:szCs w:val="24"/>
              </w:rPr>
            </w:pPr>
          </w:p>
        </w:tc>
        <w:tc>
          <w:tcPr>
            <w:tcW w:w="413" w:type="dxa"/>
            <w:vMerge w:val="continue"/>
          </w:tcPr>
          <w:p>
            <w:pPr>
              <w:spacing w:line="360" w:lineRule="exact"/>
              <w:ind w:firstLine="480" w:firstLineChars="200"/>
              <w:rPr>
                <w:rFonts w:ascii="宋体" w:hAnsi="宋体"/>
                <w:sz w:val="24"/>
                <w:szCs w:val="24"/>
              </w:rPr>
            </w:pPr>
          </w:p>
        </w:tc>
        <w:tc>
          <w:tcPr>
            <w:tcW w:w="1702" w:type="dxa"/>
            <w:gridSpan w:val="2"/>
          </w:tcPr>
          <w:p>
            <w:pPr>
              <w:pStyle w:val="36"/>
              <w:spacing w:line="360" w:lineRule="exact"/>
              <w:rPr>
                <w:rFonts w:ascii="宋体" w:hAnsi="宋体" w:cs="宋体"/>
                <w:sz w:val="24"/>
                <w:szCs w:val="24"/>
              </w:rPr>
            </w:pPr>
            <w:r>
              <w:rPr>
                <w:rFonts w:ascii="宋体" w:hAnsi="宋体" w:cs="宋体"/>
                <w:sz w:val="24"/>
                <w:szCs w:val="24"/>
              </w:rPr>
              <w:t>中级职称人员</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4" w:hRule="exact"/>
        </w:trPr>
        <w:tc>
          <w:tcPr>
            <w:tcW w:w="2047" w:type="dxa"/>
          </w:tcPr>
          <w:p>
            <w:pPr>
              <w:pStyle w:val="36"/>
              <w:spacing w:line="360" w:lineRule="exact"/>
              <w:rPr>
                <w:rFonts w:ascii="宋体" w:hAnsi="宋体" w:cs="宋体"/>
                <w:sz w:val="24"/>
                <w:szCs w:val="24"/>
              </w:rPr>
            </w:pPr>
            <w:r>
              <w:rPr>
                <w:rFonts w:ascii="宋体" w:hAnsi="宋体" w:cs="宋体"/>
                <w:sz w:val="24"/>
                <w:szCs w:val="24"/>
              </w:rPr>
              <w:t>账户开户银行</w:t>
            </w:r>
          </w:p>
        </w:tc>
        <w:tc>
          <w:tcPr>
            <w:tcW w:w="3212" w:type="dxa"/>
            <w:gridSpan w:val="3"/>
          </w:tcPr>
          <w:p>
            <w:pPr>
              <w:spacing w:line="360" w:lineRule="exact"/>
              <w:ind w:firstLine="480" w:firstLineChars="200"/>
              <w:rPr>
                <w:rFonts w:ascii="宋体" w:hAnsi="宋体"/>
                <w:sz w:val="24"/>
                <w:szCs w:val="24"/>
              </w:rPr>
            </w:pPr>
          </w:p>
        </w:tc>
        <w:tc>
          <w:tcPr>
            <w:tcW w:w="413" w:type="dxa"/>
            <w:vMerge w:val="continue"/>
          </w:tcPr>
          <w:p>
            <w:pPr>
              <w:spacing w:line="360" w:lineRule="exact"/>
              <w:ind w:firstLine="480" w:firstLineChars="200"/>
              <w:rPr>
                <w:rFonts w:ascii="宋体" w:hAnsi="宋体"/>
                <w:sz w:val="24"/>
                <w:szCs w:val="24"/>
              </w:rPr>
            </w:pPr>
          </w:p>
        </w:tc>
        <w:tc>
          <w:tcPr>
            <w:tcW w:w="1702" w:type="dxa"/>
            <w:gridSpan w:val="2"/>
          </w:tcPr>
          <w:p>
            <w:pPr>
              <w:pStyle w:val="36"/>
              <w:spacing w:line="360" w:lineRule="exact"/>
              <w:rPr>
                <w:rFonts w:ascii="宋体" w:hAnsi="宋体" w:cs="宋体"/>
                <w:sz w:val="24"/>
                <w:szCs w:val="24"/>
              </w:rPr>
            </w:pPr>
            <w:r>
              <w:rPr>
                <w:rFonts w:ascii="宋体" w:hAnsi="宋体" w:cs="宋体"/>
                <w:sz w:val="24"/>
                <w:szCs w:val="24"/>
              </w:rPr>
              <w:t>技术人员数量</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36"/>
              <w:spacing w:line="360" w:lineRule="exact"/>
              <w:rPr>
                <w:rFonts w:ascii="宋体" w:hAnsi="宋体" w:cs="宋体"/>
                <w:sz w:val="24"/>
                <w:szCs w:val="24"/>
              </w:rPr>
            </w:pPr>
            <w:r>
              <w:rPr>
                <w:rFonts w:ascii="宋体" w:hAnsi="宋体" w:cs="宋体"/>
                <w:sz w:val="24"/>
                <w:szCs w:val="24"/>
              </w:rPr>
              <w:t>账户银行账号</w:t>
            </w:r>
          </w:p>
        </w:tc>
        <w:tc>
          <w:tcPr>
            <w:tcW w:w="3212" w:type="dxa"/>
            <w:gridSpan w:val="3"/>
          </w:tcPr>
          <w:p>
            <w:pPr>
              <w:spacing w:line="360" w:lineRule="exact"/>
              <w:ind w:firstLine="480" w:firstLineChars="200"/>
              <w:rPr>
                <w:rFonts w:ascii="宋体" w:hAnsi="宋体"/>
                <w:sz w:val="24"/>
                <w:szCs w:val="24"/>
              </w:rPr>
            </w:pPr>
          </w:p>
        </w:tc>
        <w:tc>
          <w:tcPr>
            <w:tcW w:w="413" w:type="dxa"/>
            <w:vMerge w:val="continue"/>
          </w:tcPr>
          <w:p>
            <w:pPr>
              <w:spacing w:line="360" w:lineRule="exact"/>
              <w:ind w:firstLine="480" w:firstLineChars="200"/>
              <w:rPr>
                <w:rFonts w:ascii="宋体" w:hAnsi="宋体"/>
                <w:sz w:val="24"/>
                <w:szCs w:val="24"/>
              </w:rPr>
            </w:pPr>
          </w:p>
        </w:tc>
        <w:tc>
          <w:tcPr>
            <w:tcW w:w="1702" w:type="dxa"/>
            <w:gridSpan w:val="2"/>
          </w:tcPr>
          <w:p>
            <w:pPr>
              <w:pStyle w:val="36"/>
              <w:spacing w:line="360" w:lineRule="exact"/>
              <w:rPr>
                <w:rFonts w:ascii="宋体" w:hAnsi="宋体" w:cs="宋体"/>
                <w:sz w:val="24"/>
                <w:szCs w:val="24"/>
              </w:rPr>
            </w:pPr>
            <w:r>
              <w:rPr>
                <w:rFonts w:ascii="宋体" w:hAnsi="宋体" w:cs="宋体"/>
                <w:sz w:val="24"/>
                <w:szCs w:val="24"/>
              </w:rPr>
              <w:t>各类注册人员</w:t>
            </w:r>
          </w:p>
        </w:tc>
        <w:tc>
          <w:tcPr>
            <w:tcW w:w="1514" w:type="dxa"/>
            <w:gridSpan w:val="2"/>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51" w:hRule="exact"/>
        </w:trPr>
        <w:tc>
          <w:tcPr>
            <w:tcW w:w="2047" w:type="dxa"/>
          </w:tcPr>
          <w:p>
            <w:pPr>
              <w:pStyle w:val="36"/>
              <w:spacing w:line="360" w:lineRule="exact"/>
              <w:rPr>
                <w:rFonts w:ascii="宋体" w:hAnsi="宋体" w:cs="宋体"/>
                <w:sz w:val="24"/>
                <w:szCs w:val="24"/>
              </w:rPr>
            </w:pPr>
            <w:r>
              <w:rPr>
                <w:rFonts w:ascii="宋体" w:hAnsi="宋体" w:cs="宋体"/>
                <w:sz w:val="24"/>
                <w:szCs w:val="24"/>
              </w:rPr>
              <w:t>经营范围</w:t>
            </w:r>
          </w:p>
        </w:tc>
        <w:tc>
          <w:tcPr>
            <w:tcW w:w="6841" w:type="dxa"/>
            <w:gridSpan w:val="8"/>
          </w:tcPr>
          <w:p>
            <w:pPr>
              <w:spacing w:line="360" w:lineRule="exact"/>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3252" w:hRule="exact"/>
        </w:trPr>
        <w:tc>
          <w:tcPr>
            <w:tcW w:w="2047" w:type="dxa"/>
          </w:tcPr>
          <w:p>
            <w:pPr>
              <w:pStyle w:val="36"/>
              <w:spacing w:line="360" w:lineRule="exact"/>
              <w:ind w:firstLine="480" w:firstLineChars="200"/>
              <w:rPr>
                <w:rFonts w:ascii="宋体" w:hAnsi="宋体" w:cs="宋体"/>
                <w:sz w:val="24"/>
                <w:szCs w:val="24"/>
              </w:rPr>
            </w:pPr>
          </w:p>
          <w:p>
            <w:pPr>
              <w:pStyle w:val="36"/>
              <w:spacing w:line="360" w:lineRule="exact"/>
              <w:ind w:firstLine="480" w:firstLineChars="200"/>
              <w:rPr>
                <w:rFonts w:ascii="宋体" w:hAnsi="宋体" w:cs="宋体"/>
                <w:sz w:val="24"/>
                <w:szCs w:val="24"/>
              </w:rPr>
            </w:pPr>
          </w:p>
          <w:p>
            <w:pPr>
              <w:pStyle w:val="36"/>
              <w:spacing w:line="360" w:lineRule="exact"/>
              <w:ind w:firstLine="480" w:firstLineChars="200"/>
              <w:rPr>
                <w:rFonts w:ascii="宋体" w:hAnsi="宋体" w:cs="宋体"/>
                <w:sz w:val="24"/>
                <w:szCs w:val="24"/>
              </w:rPr>
            </w:pPr>
          </w:p>
          <w:p>
            <w:pPr>
              <w:pStyle w:val="36"/>
              <w:spacing w:line="360" w:lineRule="exact"/>
              <w:jc w:val="both"/>
              <w:rPr>
                <w:rFonts w:ascii="宋体" w:hAnsi="宋体" w:cs="宋体"/>
                <w:sz w:val="24"/>
                <w:szCs w:val="24"/>
              </w:rPr>
            </w:pPr>
            <w:r>
              <w:rPr>
                <w:rFonts w:ascii="宋体" w:hAnsi="宋体" w:cs="宋体"/>
                <w:sz w:val="24"/>
                <w:szCs w:val="24"/>
              </w:rPr>
              <w:t>投标人关联企业情况</w:t>
            </w:r>
          </w:p>
        </w:tc>
        <w:tc>
          <w:tcPr>
            <w:tcW w:w="6841" w:type="dxa"/>
            <w:gridSpan w:val="8"/>
          </w:tcPr>
          <w:p>
            <w:pPr>
              <w:pStyle w:val="36"/>
              <w:spacing w:line="360" w:lineRule="exact"/>
              <w:ind w:firstLine="480" w:firstLineChars="200"/>
              <w:jc w:val="both"/>
              <w:rPr>
                <w:rFonts w:ascii="宋体" w:hAnsi="宋体" w:cs="宋体"/>
                <w:sz w:val="24"/>
                <w:szCs w:val="24"/>
              </w:rPr>
            </w:pPr>
            <w:r>
              <w:rPr>
                <w:rFonts w:ascii="宋体" w:hAnsi="宋体" w:cs="宋体"/>
                <w:sz w:val="24"/>
                <w:szCs w:val="24"/>
              </w:rPr>
              <w:t>投标人应提供关联企业情况，包括：</w:t>
            </w:r>
          </w:p>
          <w:p>
            <w:pPr>
              <w:pStyle w:val="36"/>
              <w:spacing w:line="360" w:lineRule="exact"/>
              <w:ind w:firstLine="480" w:firstLineChars="200"/>
              <w:jc w:val="both"/>
              <w:rPr>
                <w:rFonts w:ascii="宋体" w:hAnsi="宋体" w:cs="宋体"/>
                <w:sz w:val="24"/>
                <w:szCs w:val="24"/>
              </w:rPr>
            </w:pPr>
            <w:r>
              <w:rPr>
                <w:rFonts w:ascii="宋体" w:hAnsi="宋体"/>
                <w:sz w:val="24"/>
                <w:szCs w:val="24"/>
              </w:rPr>
              <w:t xml:space="preserve">(1) </w:t>
            </w:r>
            <w:r>
              <w:rPr>
                <w:rFonts w:ascii="宋体" w:hAnsi="宋体" w:cs="宋体"/>
                <w:sz w:val="24"/>
                <w:szCs w:val="24"/>
              </w:rPr>
              <w:t>投标人的所有股东名称及相应股权</w:t>
            </w:r>
            <w:r>
              <w:rPr>
                <w:rFonts w:hint="eastAsia" w:ascii="宋体" w:hAnsi="宋体" w:cs="宋体"/>
                <w:sz w:val="24"/>
                <w:szCs w:val="24"/>
              </w:rPr>
              <w:t>（</w:t>
            </w:r>
            <w:r>
              <w:rPr>
                <w:rFonts w:ascii="宋体" w:hAnsi="宋体" w:cs="宋体"/>
                <w:sz w:val="24"/>
                <w:szCs w:val="24"/>
              </w:rPr>
              <w:t>出资额）比例：如投标人为上市公司，投标人应提供股权占公司股份总数%以上的所有股东名称及相应股权比例：</w:t>
            </w:r>
          </w:p>
          <w:p>
            <w:pPr>
              <w:pStyle w:val="36"/>
              <w:spacing w:line="360" w:lineRule="exact"/>
              <w:ind w:firstLine="480" w:firstLineChars="200"/>
              <w:jc w:val="both"/>
              <w:rPr>
                <w:rFonts w:ascii="宋体" w:hAnsi="宋体" w:cs="宋体"/>
                <w:sz w:val="24"/>
                <w:szCs w:val="24"/>
              </w:rPr>
            </w:pPr>
            <w:r>
              <w:rPr>
                <w:rFonts w:ascii="宋体" w:hAnsi="宋体"/>
                <w:sz w:val="24"/>
                <w:szCs w:val="24"/>
              </w:rPr>
              <w:t>(</w:t>
            </w:r>
            <w:r>
              <w:rPr>
                <w:rFonts w:hint="eastAsia" w:ascii="宋体" w:hAnsi="宋体"/>
                <w:sz w:val="24"/>
                <w:szCs w:val="24"/>
              </w:rPr>
              <w:t>2</w:t>
            </w:r>
            <w:r>
              <w:rPr>
                <w:rFonts w:ascii="宋体" w:hAnsi="宋体"/>
                <w:sz w:val="24"/>
                <w:szCs w:val="24"/>
              </w:rPr>
              <w:t>)</w:t>
            </w:r>
            <w:r>
              <w:rPr>
                <w:rFonts w:ascii="宋体" w:hAnsi="宋体" w:cs="宋体"/>
                <w:sz w:val="24"/>
                <w:szCs w:val="24"/>
              </w:rPr>
              <w:t>投标人投资（控股）或管理的下属企业名称、持有股权（出资额）比例；</w:t>
            </w:r>
          </w:p>
          <w:p>
            <w:pPr>
              <w:pStyle w:val="36"/>
              <w:spacing w:line="360" w:lineRule="exact"/>
              <w:ind w:firstLine="480" w:firstLineChars="200"/>
              <w:jc w:val="both"/>
              <w:rPr>
                <w:rFonts w:ascii="宋体" w:hAnsi="宋体" w:cs="宋体"/>
                <w:sz w:val="24"/>
                <w:szCs w:val="24"/>
              </w:rPr>
            </w:pPr>
            <w:r>
              <w:rPr>
                <w:rFonts w:ascii="宋体" w:hAnsi="宋体"/>
                <w:sz w:val="24"/>
                <w:szCs w:val="24"/>
              </w:rPr>
              <w:t>(</w:t>
            </w:r>
            <w:r>
              <w:rPr>
                <w:rFonts w:hint="eastAsia" w:ascii="宋体" w:hAnsi="宋体"/>
                <w:sz w:val="24"/>
                <w:szCs w:val="24"/>
              </w:rPr>
              <w:t>3</w:t>
            </w:r>
            <w:r>
              <w:rPr>
                <w:rFonts w:ascii="宋体" w:hAnsi="宋体"/>
                <w:sz w:val="24"/>
                <w:szCs w:val="24"/>
              </w:rPr>
              <w:t>)</w:t>
            </w:r>
            <w:r>
              <w:rPr>
                <w:rFonts w:ascii="宋体" w:hAnsi="宋体" w:cs="宋体"/>
                <w:sz w:val="24"/>
                <w:szCs w:val="24"/>
              </w:rPr>
              <w:t xml:space="preserve"> 与投标人单位负责人（即法定代表人）为同一人的其他单位名称</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449" w:hRule="exact"/>
        </w:trPr>
        <w:tc>
          <w:tcPr>
            <w:tcW w:w="2047" w:type="dxa"/>
          </w:tcPr>
          <w:p>
            <w:pPr>
              <w:pStyle w:val="36"/>
              <w:spacing w:line="360" w:lineRule="exact"/>
              <w:ind w:firstLine="480" w:firstLineChars="200"/>
              <w:jc w:val="center"/>
              <w:rPr>
                <w:rFonts w:ascii="宋体" w:hAnsi="宋体" w:cs="宋体"/>
                <w:sz w:val="24"/>
                <w:szCs w:val="24"/>
              </w:rPr>
            </w:pPr>
            <w:r>
              <w:rPr>
                <w:rFonts w:ascii="宋体" w:hAnsi="宋体" w:cs="宋体"/>
                <w:sz w:val="24"/>
                <w:szCs w:val="24"/>
              </w:rPr>
              <w:t>备注</w:t>
            </w:r>
          </w:p>
        </w:tc>
        <w:tc>
          <w:tcPr>
            <w:tcW w:w="6841" w:type="dxa"/>
            <w:gridSpan w:val="8"/>
          </w:tcPr>
          <w:p>
            <w:pPr>
              <w:spacing w:line="360" w:lineRule="exact"/>
              <w:ind w:firstLine="480" w:firstLineChars="200"/>
              <w:rPr>
                <w:rFonts w:ascii="宋体" w:hAnsi="宋体"/>
                <w:sz w:val="24"/>
                <w:szCs w:val="24"/>
              </w:rPr>
            </w:pPr>
          </w:p>
        </w:tc>
      </w:tr>
    </w:tbl>
    <w:p>
      <w:pPr>
        <w:spacing w:line="360" w:lineRule="auto"/>
        <w:ind w:firstLine="480" w:firstLineChars="200"/>
        <w:rPr>
          <w:rFonts w:ascii="宋体" w:hAnsi="宋体" w:eastAsia="宋体" w:cs="宋体"/>
          <w:sz w:val="24"/>
          <w:szCs w:val="24"/>
        </w:rPr>
      </w:pPr>
      <w:r>
        <w:rPr>
          <w:rFonts w:ascii="宋体" w:hAnsi="宋体" w:eastAsia="宋体" w:cs="宋体"/>
          <w:sz w:val="24"/>
          <w:szCs w:val="24"/>
        </w:rPr>
        <w:t>注：投标人应根据招标文件第二章 “</w:t>
      </w:r>
      <w:r>
        <w:rPr>
          <w:rFonts w:hint="eastAsia" w:ascii="宋体" w:hAnsi="宋体" w:eastAsia="宋体" w:cs="宋体"/>
          <w:sz w:val="24"/>
          <w:szCs w:val="24"/>
        </w:rPr>
        <w:t>供应商须知前附表</w:t>
      </w:r>
      <w:r>
        <w:rPr>
          <w:rFonts w:ascii="宋体" w:hAnsi="宋体" w:eastAsia="宋体" w:cs="宋体"/>
          <w:sz w:val="24"/>
          <w:szCs w:val="24"/>
        </w:rPr>
        <w:t>” 第</w:t>
      </w:r>
      <w:r>
        <w:rPr>
          <w:rFonts w:hint="eastAsia" w:ascii="宋体" w:hAnsi="宋体" w:eastAsia="宋体"/>
          <w:sz w:val="24"/>
          <w:szCs w:val="24"/>
        </w:rPr>
        <w:t>1.4.1</w:t>
      </w:r>
      <w:r>
        <w:rPr>
          <w:rFonts w:ascii="宋体" w:hAnsi="宋体" w:eastAsia="宋体" w:cs="宋体"/>
          <w:sz w:val="24"/>
          <w:szCs w:val="24"/>
        </w:rPr>
        <w:t>项的要求在本表后附相关证明材料。</w:t>
      </w: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pStyle w:val="12"/>
        <w:spacing w:line="360" w:lineRule="auto"/>
        <w:ind w:firstLine="420" w:firstLineChars="200"/>
        <w:jc w:val="center"/>
        <w:rPr>
          <w:rFonts w:ascii="宋体" w:hAnsi="宋体" w:eastAsia="宋体"/>
          <w:sz w:val="21"/>
          <w:szCs w:val="21"/>
        </w:rPr>
      </w:pPr>
    </w:p>
    <w:p>
      <w:pPr>
        <w:pStyle w:val="12"/>
        <w:spacing w:line="360" w:lineRule="auto"/>
        <w:ind w:firstLine="440" w:firstLineChars="200"/>
        <w:jc w:val="center"/>
        <w:rPr>
          <w:rFonts w:ascii="宋体" w:hAnsi="宋体" w:eastAsia="宋体"/>
          <w:szCs w:val="28"/>
        </w:rPr>
      </w:pPr>
      <w:r>
        <w:rPr>
          <w:rFonts w:ascii="宋体" w:hAnsi="宋体" w:eastAsia="宋体"/>
          <w:szCs w:val="28"/>
        </w:rPr>
        <w:t>（</w:t>
      </w:r>
      <w:r>
        <w:rPr>
          <w:rFonts w:hint="eastAsia" w:ascii="宋体" w:hAnsi="宋体" w:eastAsia="宋体"/>
          <w:szCs w:val="28"/>
        </w:rPr>
        <w:t>二</w:t>
      </w:r>
      <w:r>
        <w:rPr>
          <w:rFonts w:ascii="宋体" w:hAnsi="宋体" w:eastAsia="宋体"/>
          <w:szCs w:val="28"/>
        </w:rPr>
        <w:t>）</w:t>
      </w:r>
      <w:r>
        <w:rPr>
          <w:rFonts w:ascii="宋体" w:hAnsi="宋体" w:eastAsia="宋体"/>
          <w:spacing w:val="-6"/>
          <w:szCs w:val="28"/>
        </w:rPr>
        <w:t>近年完成的类似项目情况表</w:t>
      </w:r>
    </w:p>
    <w:tbl>
      <w:tblPr>
        <w:tblStyle w:val="21"/>
        <w:tblW w:w="8821" w:type="dxa"/>
        <w:tblInd w:w="116"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2366"/>
        <w:gridCol w:w="6455"/>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tabs>
                <w:tab w:val="left" w:pos="1328"/>
              </w:tabs>
              <w:spacing w:line="360" w:lineRule="exact"/>
              <w:jc w:val="center"/>
              <w:rPr>
                <w:rFonts w:ascii="宋体" w:hAnsi="宋体" w:cs="宋体"/>
                <w:sz w:val="24"/>
                <w:szCs w:val="24"/>
              </w:rPr>
            </w:pPr>
            <w:r>
              <w:rPr>
                <w:rFonts w:hint="eastAsia" w:ascii="宋体" w:hAnsi="宋体" w:cs="宋体"/>
                <w:sz w:val="24"/>
                <w:szCs w:val="24"/>
              </w:rPr>
              <w:t>序号</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spacing w:line="360" w:lineRule="exact"/>
              <w:jc w:val="center"/>
              <w:rPr>
                <w:rFonts w:ascii="宋体" w:hAnsi="宋体" w:cs="宋体"/>
                <w:sz w:val="24"/>
                <w:szCs w:val="24"/>
              </w:rPr>
            </w:pPr>
            <w:r>
              <w:rPr>
                <w:rFonts w:ascii="宋体" w:hAnsi="宋体" w:cs="宋体"/>
                <w:sz w:val="24"/>
                <w:szCs w:val="24"/>
              </w:rPr>
              <w:t>项目名称</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spacing w:line="360" w:lineRule="exact"/>
              <w:jc w:val="center"/>
              <w:rPr>
                <w:rFonts w:ascii="宋体" w:hAnsi="宋体" w:cs="宋体"/>
                <w:sz w:val="24"/>
                <w:szCs w:val="24"/>
              </w:rPr>
            </w:pPr>
            <w:r>
              <w:rPr>
                <w:rFonts w:ascii="宋体" w:hAnsi="宋体" w:cs="宋体"/>
                <w:sz w:val="24"/>
                <w:szCs w:val="24"/>
              </w:rPr>
              <w:t>项日所在地</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spacing w:line="360" w:lineRule="exact"/>
              <w:jc w:val="center"/>
              <w:rPr>
                <w:rFonts w:ascii="宋体" w:hAnsi="宋体" w:cs="宋体"/>
                <w:sz w:val="24"/>
                <w:szCs w:val="24"/>
              </w:rPr>
            </w:pPr>
            <w:r>
              <w:rPr>
                <w:rFonts w:ascii="宋体" w:hAnsi="宋体" w:cs="宋体"/>
                <w:sz w:val="24"/>
                <w:szCs w:val="24"/>
              </w:rPr>
              <w:t>委托人名称</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spacing w:line="360" w:lineRule="exact"/>
              <w:jc w:val="center"/>
              <w:rPr>
                <w:rFonts w:ascii="宋体" w:hAnsi="宋体" w:cs="宋体"/>
                <w:sz w:val="24"/>
                <w:szCs w:val="24"/>
              </w:rPr>
            </w:pPr>
            <w:r>
              <w:rPr>
                <w:rFonts w:ascii="宋体" w:hAnsi="宋体" w:cs="宋体"/>
                <w:sz w:val="24"/>
                <w:szCs w:val="24"/>
              </w:rPr>
              <w:t>委托人地址</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spacing w:line="360" w:lineRule="exact"/>
              <w:jc w:val="center"/>
              <w:rPr>
                <w:rFonts w:ascii="宋体" w:hAnsi="宋体" w:cs="宋体"/>
                <w:sz w:val="24"/>
                <w:szCs w:val="24"/>
              </w:rPr>
            </w:pPr>
            <w:r>
              <w:rPr>
                <w:rFonts w:ascii="宋体" w:hAnsi="宋体" w:cs="宋体"/>
                <w:sz w:val="24"/>
                <w:szCs w:val="24"/>
              </w:rPr>
              <w:t>委托人电话</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spacing w:line="360" w:lineRule="exact"/>
              <w:jc w:val="center"/>
              <w:rPr>
                <w:rFonts w:ascii="宋体" w:hAnsi="宋体" w:cs="宋体"/>
                <w:sz w:val="24"/>
                <w:szCs w:val="24"/>
              </w:rPr>
            </w:pPr>
            <w:r>
              <w:rPr>
                <w:rFonts w:hint="eastAsia" w:ascii="宋体" w:hAnsi="宋体" w:cs="宋体"/>
                <w:sz w:val="24"/>
                <w:szCs w:val="24"/>
              </w:rPr>
              <w:t>合同价格</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spacing w:line="360" w:lineRule="exact"/>
              <w:jc w:val="center"/>
              <w:rPr>
                <w:rFonts w:ascii="宋体" w:hAnsi="宋体" w:cs="宋体"/>
                <w:sz w:val="24"/>
                <w:szCs w:val="24"/>
              </w:rPr>
            </w:pPr>
            <w:r>
              <w:rPr>
                <w:rFonts w:ascii="宋体" w:hAnsi="宋体" w:cs="宋体"/>
                <w:sz w:val="24"/>
                <w:szCs w:val="24"/>
              </w:rPr>
              <w:t>监理服务期限</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spacing w:line="360" w:lineRule="exact"/>
              <w:jc w:val="center"/>
              <w:rPr>
                <w:rFonts w:ascii="宋体" w:hAnsi="宋体" w:cs="宋体"/>
                <w:sz w:val="24"/>
                <w:szCs w:val="24"/>
              </w:rPr>
            </w:pPr>
            <w:r>
              <w:rPr>
                <w:rFonts w:ascii="宋体" w:hAnsi="宋体" w:cs="宋体"/>
                <w:sz w:val="24"/>
                <w:szCs w:val="24"/>
              </w:rPr>
              <w:t>监理内容</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42" w:hRule="exact"/>
        </w:trPr>
        <w:tc>
          <w:tcPr>
            <w:tcW w:w="2366" w:type="dxa"/>
            <w:vAlign w:val="center"/>
          </w:tcPr>
          <w:p>
            <w:pPr>
              <w:pStyle w:val="36"/>
              <w:spacing w:line="360" w:lineRule="exact"/>
              <w:jc w:val="center"/>
              <w:rPr>
                <w:rFonts w:ascii="宋体" w:hAnsi="宋体" w:cs="宋体"/>
                <w:sz w:val="24"/>
                <w:szCs w:val="24"/>
              </w:rPr>
            </w:pPr>
            <w:r>
              <w:rPr>
                <w:rFonts w:ascii="宋体" w:hAnsi="宋体" w:cs="宋体"/>
                <w:sz w:val="24"/>
                <w:szCs w:val="24"/>
              </w:rPr>
              <w:t>总监理工程师</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spacing w:line="360" w:lineRule="exact"/>
              <w:jc w:val="center"/>
              <w:rPr>
                <w:rFonts w:ascii="宋体" w:hAnsi="宋体" w:cs="宋体"/>
                <w:sz w:val="24"/>
                <w:szCs w:val="24"/>
              </w:rPr>
            </w:pPr>
            <w:r>
              <w:rPr>
                <w:rFonts w:ascii="宋体" w:hAnsi="宋体" w:cs="宋体"/>
                <w:sz w:val="24"/>
                <w:szCs w:val="24"/>
              </w:rPr>
              <w:t>项目描述</w:t>
            </w:r>
          </w:p>
        </w:tc>
        <w:tc>
          <w:tcPr>
            <w:tcW w:w="6455" w:type="dxa"/>
            <w:vAlign w:val="center"/>
          </w:tcPr>
          <w:p>
            <w:pPr>
              <w:pStyle w:val="36"/>
              <w:spacing w:line="360" w:lineRule="exact"/>
              <w:ind w:firstLine="480" w:firstLineChars="200"/>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67" w:hRule="exact"/>
        </w:trPr>
        <w:tc>
          <w:tcPr>
            <w:tcW w:w="2366" w:type="dxa"/>
            <w:vAlign w:val="center"/>
          </w:tcPr>
          <w:p>
            <w:pPr>
              <w:pStyle w:val="36"/>
              <w:spacing w:line="360" w:lineRule="exact"/>
              <w:jc w:val="center"/>
              <w:rPr>
                <w:rFonts w:ascii="宋体" w:hAnsi="宋体" w:cs="宋体"/>
                <w:sz w:val="24"/>
                <w:szCs w:val="24"/>
              </w:rPr>
            </w:pPr>
            <w:r>
              <w:rPr>
                <w:rFonts w:ascii="宋体" w:hAnsi="宋体" w:cs="宋体"/>
                <w:sz w:val="24"/>
                <w:szCs w:val="24"/>
              </w:rPr>
              <w:t>备注</w:t>
            </w:r>
          </w:p>
        </w:tc>
        <w:tc>
          <w:tcPr>
            <w:tcW w:w="6455" w:type="dxa"/>
            <w:vAlign w:val="center"/>
          </w:tcPr>
          <w:p>
            <w:pPr>
              <w:pStyle w:val="36"/>
              <w:spacing w:line="360" w:lineRule="exact"/>
              <w:ind w:firstLine="480" w:firstLineChars="200"/>
              <w:jc w:val="center"/>
              <w:rPr>
                <w:rFonts w:ascii="宋体" w:hAnsi="宋体" w:cs="宋体"/>
                <w:sz w:val="24"/>
                <w:szCs w:val="24"/>
              </w:rPr>
            </w:pPr>
          </w:p>
        </w:tc>
      </w:tr>
    </w:tbl>
    <w:p>
      <w:pPr>
        <w:spacing w:line="360" w:lineRule="auto"/>
        <w:ind w:firstLine="492" w:firstLineChars="200"/>
        <w:rPr>
          <w:rFonts w:ascii="宋体" w:hAnsi="宋体" w:cs="Arial"/>
          <w:spacing w:val="-8"/>
          <w:w w:val="105"/>
          <w:sz w:val="25"/>
          <w:szCs w:val="25"/>
        </w:rPr>
      </w:pPr>
    </w:p>
    <w:p>
      <w:pPr>
        <w:spacing w:line="360" w:lineRule="auto"/>
        <w:ind w:firstLine="480" w:firstLineChars="200"/>
        <w:rPr>
          <w:rFonts w:ascii="宋体" w:hAnsi="宋体" w:eastAsia="宋体" w:cs="宋体"/>
          <w:sz w:val="24"/>
          <w:szCs w:val="24"/>
        </w:rPr>
      </w:pPr>
      <w:r>
        <w:rPr>
          <w:rFonts w:hint="eastAsia" w:ascii="宋体" w:hAnsi="宋体" w:eastAsia="宋体" w:cs="Arial"/>
          <w:sz w:val="24"/>
          <w:szCs w:val="24"/>
        </w:rPr>
        <w:t>注</w:t>
      </w:r>
      <w:r>
        <w:rPr>
          <w:rFonts w:ascii="宋体" w:hAnsi="宋体" w:eastAsia="宋体" w:cs="宋体"/>
          <w:sz w:val="24"/>
          <w:szCs w:val="24"/>
        </w:rPr>
        <w:t>：</w:t>
      </w:r>
      <w:r>
        <w:rPr>
          <w:rFonts w:hint="eastAsia" w:ascii="宋体" w:hAnsi="宋体" w:eastAsia="宋体" w:cs="Arial"/>
          <w:sz w:val="24"/>
          <w:szCs w:val="24"/>
        </w:rPr>
        <w:t>1.</w:t>
      </w:r>
      <w:r>
        <w:rPr>
          <w:rFonts w:ascii="宋体" w:hAnsi="宋体" w:eastAsia="宋体" w:cs="宋体"/>
          <w:sz w:val="24"/>
          <w:szCs w:val="24"/>
        </w:rPr>
        <w:t>每张表格只填写一个项目，并标明序号。</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2.</w:t>
      </w:r>
      <w:r>
        <w:rPr>
          <w:rFonts w:ascii="宋体" w:hAnsi="宋体" w:eastAsia="宋体" w:cs="宋体"/>
          <w:sz w:val="24"/>
          <w:szCs w:val="24"/>
        </w:rPr>
        <w:t>投标人</w:t>
      </w:r>
      <w:r>
        <w:rPr>
          <w:rFonts w:hint="eastAsia" w:ascii="宋体" w:hAnsi="宋体" w:eastAsia="宋体" w:cs="宋体"/>
          <w:sz w:val="24"/>
          <w:szCs w:val="24"/>
        </w:rPr>
        <w:t>应在</w:t>
      </w:r>
      <w:r>
        <w:rPr>
          <w:rFonts w:ascii="宋体" w:hAnsi="宋体" w:eastAsia="宋体" w:cs="宋体"/>
          <w:sz w:val="24"/>
          <w:szCs w:val="24"/>
        </w:rPr>
        <w:t>本表后附</w:t>
      </w:r>
      <w:r>
        <w:rPr>
          <w:rFonts w:hint="eastAsia" w:ascii="宋体" w:hAnsi="宋体" w:eastAsia="宋体" w:cs="宋体"/>
          <w:sz w:val="24"/>
          <w:szCs w:val="24"/>
        </w:rPr>
        <w:t>合同</w:t>
      </w:r>
      <w:r>
        <w:rPr>
          <w:rFonts w:ascii="宋体" w:hAnsi="宋体" w:eastAsia="宋体" w:cs="宋体"/>
          <w:sz w:val="24"/>
          <w:szCs w:val="24"/>
        </w:rPr>
        <w:t>。</w:t>
      </w:r>
    </w:p>
    <w:p>
      <w:pPr>
        <w:spacing w:line="360" w:lineRule="auto"/>
        <w:ind w:firstLine="480" w:firstLineChars="200"/>
        <w:rPr>
          <w:rFonts w:ascii="宋体" w:hAnsi="宋体" w:eastAsia="宋体" w:cs="宋体"/>
          <w:sz w:val="24"/>
          <w:szCs w:val="24"/>
        </w:rPr>
      </w:pPr>
      <w:r>
        <w:rPr>
          <w:rFonts w:hint="eastAsia" w:ascii="宋体" w:hAnsi="宋体" w:eastAsia="宋体"/>
          <w:sz w:val="24"/>
          <w:szCs w:val="24"/>
        </w:rPr>
        <w:t>3.</w:t>
      </w:r>
      <w:r>
        <w:rPr>
          <w:rFonts w:ascii="宋体" w:hAnsi="宋体" w:eastAsia="宋体" w:cs="宋体"/>
          <w:sz w:val="24"/>
          <w:szCs w:val="24"/>
        </w:rPr>
        <w:t>如近年来，投标人法人机构发生合法变更或重组或法人名称变更时，应提供相关部门的合法批件或其他相关证明材料来证明其所附业绩的继承性。</w:t>
      </w:r>
    </w:p>
    <w:p>
      <w:pPr>
        <w:spacing w:line="360" w:lineRule="auto"/>
        <w:ind w:firstLine="400" w:firstLineChars="200"/>
        <w:rPr>
          <w:rFonts w:ascii="宋体" w:hAnsi="宋体" w:cs="宋体"/>
          <w:sz w:val="20"/>
          <w:szCs w:val="20"/>
        </w:rPr>
        <w:sectPr>
          <w:footerReference r:id="rId10" w:type="default"/>
          <w:pgSz w:w="11910" w:h="16840"/>
          <w:pgMar w:top="1440" w:right="1800" w:bottom="1440" w:left="1800" w:header="1034" w:footer="1202" w:gutter="0"/>
          <w:cols w:space="720" w:num="1"/>
        </w:sectPr>
      </w:pPr>
    </w:p>
    <w:p>
      <w:pPr>
        <w:spacing w:line="360" w:lineRule="auto"/>
        <w:ind w:firstLine="400" w:firstLineChars="200"/>
        <w:rPr>
          <w:rFonts w:ascii="宋体" w:hAnsi="宋体" w:cs="宋体"/>
          <w:sz w:val="20"/>
          <w:szCs w:val="20"/>
        </w:rPr>
      </w:pPr>
    </w:p>
    <w:p>
      <w:pPr>
        <w:pStyle w:val="12"/>
        <w:spacing w:line="360" w:lineRule="auto"/>
        <w:ind w:firstLine="440" w:firstLineChars="200"/>
        <w:jc w:val="center"/>
        <w:rPr>
          <w:rFonts w:ascii="宋体" w:hAnsi="宋体" w:eastAsia="宋体"/>
          <w:szCs w:val="28"/>
        </w:rPr>
      </w:pPr>
      <w:r>
        <w:rPr>
          <w:rFonts w:hint="eastAsia" w:ascii="宋体" w:hAnsi="宋体" w:eastAsia="宋体"/>
          <w:szCs w:val="28"/>
        </w:rPr>
        <w:t>（三）</w:t>
      </w:r>
      <w:r>
        <w:rPr>
          <w:rFonts w:ascii="宋体" w:hAnsi="宋体" w:eastAsia="宋体"/>
          <w:szCs w:val="28"/>
        </w:rPr>
        <w:t>拟委任的总监理工程师资历表</w:t>
      </w:r>
    </w:p>
    <w:tbl>
      <w:tblPr>
        <w:tblStyle w:val="21"/>
        <w:tblW w:w="8588" w:type="dxa"/>
        <w:tblInd w:w="115" w:type="dxa"/>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Layout w:type="fixed"/>
        <w:tblCellMar>
          <w:top w:w="0" w:type="dxa"/>
          <w:left w:w="108" w:type="dxa"/>
          <w:bottom w:w="0" w:type="dxa"/>
          <w:right w:w="108" w:type="dxa"/>
        </w:tblCellMar>
      </w:tblPr>
      <w:tblGrid>
        <w:gridCol w:w="1238"/>
        <w:gridCol w:w="1215"/>
        <w:gridCol w:w="305"/>
        <w:gridCol w:w="952"/>
        <w:gridCol w:w="1506"/>
        <w:gridCol w:w="338"/>
        <w:gridCol w:w="1556"/>
        <w:gridCol w:w="161"/>
        <w:gridCol w:w="1317"/>
      </w:tblGrid>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931" w:hRule="exact"/>
        </w:trPr>
        <w:tc>
          <w:tcPr>
            <w:tcW w:w="1238" w:type="dxa"/>
            <w:vAlign w:val="center"/>
          </w:tcPr>
          <w:p>
            <w:pPr>
              <w:pStyle w:val="36"/>
              <w:spacing w:line="360" w:lineRule="exact"/>
              <w:jc w:val="center"/>
              <w:rPr>
                <w:rFonts w:ascii="宋体" w:hAnsi="宋体" w:cs="宋体"/>
                <w:sz w:val="24"/>
                <w:szCs w:val="24"/>
              </w:rPr>
            </w:pPr>
            <w:r>
              <w:rPr>
                <w:rFonts w:ascii="宋体" w:hAnsi="宋体" w:cs="宋体"/>
                <w:sz w:val="24"/>
                <w:szCs w:val="24"/>
              </w:rPr>
              <w:t>姓</w:t>
            </w:r>
            <w:r>
              <w:rPr>
                <w:rFonts w:ascii="宋体" w:hAnsi="宋体" w:cs="宋体"/>
                <w:sz w:val="24"/>
                <w:szCs w:val="24"/>
              </w:rPr>
              <w:tab/>
            </w:r>
            <w:r>
              <w:rPr>
                <w:rFonts w:ascii="宋体" w:hAnsi="宋体" w:cs="宋体"/>
                <w:sz w:val="24"/>
                <w:szCs w:val="24"/>
              </w:rPr>
              <w:t>名</w:t>
            </w:r>
          </w:p>
        </w:tc>
        <w:tc>
          <w:tcPr>
            <w:tcW w:w="1520" w:type="dxa"/>
            <w:gridSpan w:val="2"/>
            <w:vAlign w:val="center"/>
          </w:tcPr>
          <w:p>
            <w:pPr>
              <w:spacing w:line="360" w:lineRule="exact"/>
              <w:ind w:firstLine="480" w:firstLineChars="200"/>
              <w:jc w:val="center"/>
              <w:rPr>
                <w:rFonts w:ascii="宋体" w:hAnsi="宋体" w:cs="宋体"/>
                <w:sz w:val="24"/>
                <w:szCs w:val="24"/>
              </w:rPr>
            </w:pPr>
          </w:p>
        </w:tc>
        <w:tc>
          <w:tcPr>
            <w:tcW w:w="952" w:type="dxa"/>
            <w:vAlign w:val="center"/>
          </w:tcPr>
          <w:p>
            <w:pPr>
              <w:pStyle w:val="36"/>
              <w:spacing w:line="360" w:lineRule="exact"/>
              <w:jc w:val="center"/>
              <w:rPr>
                <w:rFonts w:ascii="宋体" w:hAnsi="宋体" w:cs="宋体"/>
                <w:sz w:val="24"/>
                <w:szCs w:val="24"/>
              </w:rPr>
            </w:pPr>
            <w:r>
              <w:rPr>
                <w:rFonts w:ascii="宋体" w:hAnsi="宋体" w:cs="宋体"/>
                <w:sz w:val="24"/>
                <w:szCs w:val="24"/>
              </w:rPr>
              <w:t>年龄</w:t>
            </w:r>
          </w:p>
        </w:tc>
        <w:tc>
          <w:tcPr>
            <w:tcW w:w="1506" w:type="dxa"/>
            <w:vAlign w:val="center"/>
          </w:tcPr>
          <w:p>
            <w:pPr>
              <w:spacing w:line="360" w:lineRule="exact"/>
              <w:ind w:firstLine="480" w:firstLineChars="200"/>
              <w:jc w:val="center"/>
              <w:rPr>
                <w:rFonts w:ascii="宋体" w:hAnsi="宋体" w:cs="宋体"/>
                <w:sz w:val="24"/>
                <w:szCs w:val="24"/>
              </w:rPr>
            </w:pPr>
          </w:p>
        </w:tc>
        <w:tc>
          <w:tcPr>
            <w:tcW w:w="1894" w:type="dxa"/>
            <w:gridSpan w:val="2"/>
            <w:vAlign w:val="center"/>
          </w:tcPr>
          <w:p>
            <w:pPr>
              <w:pStyle w:val="36"/>
              <w:spacing w:line="360" w:lineRule="exact"/>
              <w:jc w:val="center"/>
              <w:rPr>
                <w:rFonts w:ascii="宋体" w:hAnsi="宋体" w:cs="宋体"/>
                <w:sz w:val="24"/>
                <w:szCs w:val="24"/>
              </w:rPr>
            </w:pPr>
            <w:r>
              <w:rPr>
                <w:rFonts w:ascii="宋体" w:hAnsi="宋体" w:cs="宋体"/>
                <w:sz w:val="24"/>
                <w:szCs w:val="24"/>
              </w:rPr>
              <w:t>执业或职业资格证书名称</w:t>
            </w:r>
          </w:p>
        </w:tc>
        <w:tc>
          <w:tcPr>
            <w:tcW w:w="1478" w:type="dxa"/>
            <w:gridSpan w:val="2"/>
            <w:vAlign w:val="center"/>
          </w:tcPr>
          <w:p>
            <w:pPr>
              <w:spacing w:line="360" w:lineRule="auto"/>
              <w:ind w:firstLine="480" w:firstLineChars="200"/>
              <w:jc w:val="center"/>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991" w:hRule="exact"/>
        </w:trPr>
        <w:tc>
          <w:tcPr>
            <w:tcW w:w="1238" w:type="dxa"/>
            <w:vAlign w:val="center"/>
          </w:tcPr>
          <w:p>
            <w:pPr>
              <w:pStyle w:val="36"/>
              <w:spacing w:line="360" w:lineRule="exact"/>
              <w:jc w:val="center"/>
              <w:rPr>
                <w:rFonts w:ascii="宋体" w:hAnsi="宋体" w:cs="宋体"/>
                <w:sz w:val="24"/>
                <w:szCs w:val="24"/>
              </w:rPr>
            </w:pPr>
            <w:r>
              <w:rPr>
                <w:rFonts w:ascii="宋体" w:hAnsi="宋体" w:cs="宋体"/>
                <w:sz w:val="24"/>
                <w:szCs w:val="24"/>
              </w:rPr>
              <w:t>技术职称</w:t>
            </w:r>
          </w:p>
        </w:tc>
        <w:tc>
          <w:tcPr>
            <w:tcW w:w="1520" w:type="dxa"/>
            <w:gridSpan w:val="2"/>
            <w:vAlign w:val="center"/>
          </w:tcPr>
          <w:p>
            <w:pPr>
              <w:pStyle w:val="36"/>
              <w:tabs>
                <w:tab w:val="left" w:pos="638"/>
              </w:tabs>
              <w:spacing w:line="360" w:lineRule="exact"/>
              <w:ind w:firstLine="480" w:firstLineChars="200"/>
              <w:jc w:val="center"/>
              <w:rPr>
                <w:rFonts w:ascii="宋体" w:hAnsi="宋体" w:cs="宋体"/>
                <w:sz w:val="24"/>
                <w:szCs w:val="24"/>
              </w:rPr>
            </w:pPr>
          </w:p>
        </w:tc>
        <w:tc>
          <w:tcPr>
            <w:tcW w:w="952" w:type="dxa"/>
            <w:vAlign w:val="center"/>
          </w:tcPr>
          <w:p>
            <w:pPr>
              <w:pStyle w:val="36"/>
              <w:spacing w:line="360" w:lineRule="exact"/>
              <w:jc w:val="center"/>
              <w:rPr>
                <w:rFonts w:ascii="宋体" w:hAnsi="宋体" w:cs="宋体"/>
                <w:sz w:val="24"/>
                <w:szCs w:val="24"/>
              </w:rPr>
            </w:pPr>
            <w:r>
              <w:rPr>
                <w:rFonts w:hint="eastAsia" w:ascii="宋体" w:hAnsi="宋体" w:cs="宋体"/>
                <w:sz w:val="24"/>
                <w:szCs w:val="24"/>
              </w:rPr>
              <w:t>学</w:t>
            </w:r>
            <w:r>
              <w:rPr>
                <w:rFonts w:ascii="宋体" w:hAnsi="宋体" w:cs="宋体"/>
                <w:sz w:val="24"/>
                <w:szCs w:val="24"/>
              </w:rPr>
              <w:t>历</w:t>
            </w:r>
          </w:p>
        </w:tc>
        <w:tc>
          <w:tcPr>
            <w:tcW w:w="1506" w:type="dxa"/>
            <w:vAlign w:val="center"/>
          </w:tcPr>
          <w:p>
            <w:pPr>
              <w:spacing w:line="360" w:lineRule="exact"/>
              <w:ind w:firstLine="480" w:firstLineChars="200"/>
              <w:jc w:val="center"/>
              <w:rPr>
                <w:rFonts w:ascii="宋体" w:hAnsi="宋体" w:cs="宋体"/>
                <w:sz w:val="24"/>
                <w:szCs w:val="24"/>
              </w:rPr>
            </w:pPr>
          </w:p>
        </w:tc>
        <w:tc>
          <w:tcPr>
            <w:tcW w:w="1894" w:type="dxa"/>
            <w:gridSpan w:val="2"/>
            <w:vAlign w:val="center"/>
          </w:tcPr>
          <w:p>
            <w:pPr>
              <w:pStyle w:val="36"/>
              <w:spacing w:line="360" w:lineRule="exact"/>
              <w:jc w:val="center"/>
              <w:rPr>
                <w:rFonts w:ascii="宋体" w:hAnsi="宋体" w:cs="宋体"/>
                <w:sz w:val="24"/>
                <w:szCs w:val="24"/>
              </w:rPr>
            </w:pPr>
            <w:r>
              <w:rPr>
                <w:rFonts w:ascii="宋体" w:hAnsi="宋体" w:cs="宋体"/>
                <w:sz w:val="24"/>
                <w:szCs w:val="24"/>
              </w:rPr>
              <w:t>拟在本标段工程任职</w:t>
            </w:r>
          </w:p>
        </w:tc>
        <w:tc>
          <w:tcPr>
            <w:tcW w:w="1478" w:type="dxa"/>
            <w:gridSpan w:val="2"/>
            <w:vAlign w:val="center"/>
          </w:tcPr>
          <w:p>
            <w:pPr>
              <w:spacing w:line="360" w:lineRule="auto"/>
              <w:ind w:firstLine="480" w:firstLineChars="200"/>
              <w:jc w:val="center"/>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09" w:hRule="exact"/>
        </w:trPr>
        <w:tc>
          <w:tcPr>
            <w:tcW w:w="1238" w:type="dxa"/>
          </w:tcPr>
          <w:p>
            <w:pPr>
              <w:pStyle w:val="36"/>
              <w:spacing w:line="360" w:lineRule="exact"/>
              <w:jc w:val="center"/>
              <w:rPr>
                <w:rFonts w:ascii="宋体" w:hAnsi="宋体" w:cs="宋体"/>
                <w:sz w:val="24"/>
                <w:szCs w:val="24"/>
              </w:rPr>
            </w:pPr>
            <w:r>
              <w:rPr>
                <w:rFonts w:ascii="宋体" w:hAnsi="宋体" w:cs="宋体"/>
                <w:sz w:val="24"/>
                <w:szCs w:val="24"/>
              </w:rPr>
              <w:t>工作年限</w:t>
            </w:r>
          </w:p>
        </w:tc>
        <w:tc>
          <w:tcPr>
            <w:tcW w:w="3978" w:type="dxa"/>
            <w:gridSpan w:val="4"/>
          </w:tcPr>
          <w:p>
            <w:pPr>
              <w:pStyle w:val="36"/>
              <w:spacing w:line="360" w:lineRule="exact"/>
              <w:jc w:val="center"/>
              <w:rPr>
                <w:rFonts w:ascii="宋体" w:hAnsi="宋体" w:cs="宋体"/>
                <w:sz w:val="24"/>
                <w:szCs w:val="24"/>
              </w:rPr>
            </w:pPr>
          </w:p>
        </w:tc>
        <w:tc>
          <w:tcPr>
            <w:tcW w:w="1894" w:type="dxa"/>
            <w:gridSpan w:val="2"/>
          </w:tcPr>
          <w:p>
            <w:pPr>
              <w:pStyle w:val="36"/>
              <w:spacing w:line="360" w:lineRule="exact"/>
              <w:jc w:val="center"/>
              <w:rPr>
                <w:rFonts w:ascii="宋体" w:hAnsi="宋体" w:cs="宋体"/>
                <w:sz w:val="24"/>
                <w:szCs w:val="24"/>
              </w:rPr>
            </w:pPr>
            <w:r>
              <w:rPr>
                <w:rFonts w:ascii="宋体" w:hAnsi="宋体" w:cs="宋体"/>
                <w:sz w:val="24"/>
                <w:szCs w:val="24"/>
              </w:rPr>
              <w:t>从事监理工作年限</w:t>
            </w:r>
          </w:p>
        </w:tc>
        <w:tc>
          <w:tcPr>
            <w:tcW w:w="1478" w:type="dxa"/>
            <w:gridSpan w:val="2"/>
          </w:tcPr>
          <w:p>
            <w:pPr>
              <w:spacing w:line="360" w:lineRule="auto"/>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848" w:hRule="exact"/>
        </w:trPr>
        <w:tc>
          <w:tcPr>
            <w:tcW w:w="1238" w:type="dxa"/>
          </w:tcPr>
          <w:p>
            <w:pPr>
              <w:pStyle w:val="36"/>
              <w:spacing w:line="360" w:lineRule="exact"/>
              <w:jc w:val="center"/>
              <w:rPr>
                <w:rFonts w:ascii="宋体" w:hAnsi="宋体" w:cs="宋体"/>
                <w:sz w:val="24"/>
                <w:szCs w:val="24"/>
              </w:rPr>
            </w:pPr>
            <w:r>
              <w:rPr>
                <w:rFonts w:ascii="宋体" w:hAnsi="宋体" w:cs="宋体"/>
                <w:sz w:val="24"/>
                <w:szCs w:val="24"/>
              </w:rPr>
              <w:t>毕业学校</w:t>
            </w:r>
          </w:p>
        </w:tc>
        <w:tc>
          <w:tcPr>
            <w:tcW w:w="7350" w:type="dxa"/>
            <w:gridSpan w:val="8"/>
            <w:vAlign w:val="bottom"/>
          </w:tcPr>
          <w:p>
            <w:pPr>
              <w:pStyle w:val="36"/>
              <w:tabs>
                <w:tab w:val="left" w:pos="3953"/>
                <w:tab w:val="left" w:pos="5522"/>
                <w:tab w:val="left" w:pos="7202"/>
              </w:tabs>
              <w:spacing w:line="360" w:lineRule="auto"/>
              <w:jc w:val="center"/>
              <w:rPr>
                <w:rFonts w:ascii="宋体" w:hAnsi="宋体" w:cs="宋体"/>
                <w:sz w:val="24"/>
                <w:szCs w:val="24"/>
              </w:rPr>
            </w:pPr>
            <w:r>
              <w:rPr>
                <w:rFonts w:ascii="宋体" w:hAnsi="宋体" w:cs="宋体"/>
                <w:position w:val="5"/>
                <w:sz w:val="24"/>
                <w:szCs w:val="24"/>
              </w:rPr>
              <w:t>年月毕业于</w:t>
            </w:r>
            <w:r>
              <w:rPr>
                <w:rFonts w:ascii="宋体" w:hAnsi="宋体" w:cs="宋体"/>
                <w:position w:val="5"/>
                <w:sz w:val="24"/>
                <w:szCs w:val="24"/>
                <w:u w:val="single"/>
              </w:rPr>
              <w:tab/>
            </w:r>
            <w:r>
              <w:rPr>
                <w:rFonts w:ascii="宋体" w:hAnsi="宋体" w:cs="宋体"/>
                <w:position w:val="5"/>
                <w:sz w:val="24"/>
                <w:szCs w:val="24"/>
              </w:rPr>
              <w:t>学校</w:t>
            </w:r>
            <w:r>
              <w:rPr>
                <w:rFonts w:ascii="宋体" w:hAnsi="宋体" w:cs="宋体"/>
                <w:position w:val="5"/>
                <w:sz w:val="24"/>
                <w:szCs w:val="24"/>
                <w:u w:val="single" w:color="000000"/>
              </w:rPr>
              <w:tab/>
            </w:r>
            <w:r>
              <w:rPr>
                <w:rFonts w:ascii="宋体" w:hAnsi="宋体" w:cs="宋体"/>
                <w:position w:val="5"/>
                <w:sz w:val="24"/>
                <w:szCs w:val="24"/>
              </w:rPr>
              <w:t>专业，学制</w:t>
            </w:r>
            <w:r>
              <w:rPr>
                <w:rFonts w:ascii="宋体" w:hAnsi="宋体" w:cs="宋体"/>
                <w:position w:val="5"/>
                <w:sz w:val="24"/>
                <w:szCs w:val="24"/>
                <w:u w:val="single"/>
              </w:rPr>
              <w:tab/>
            </w:r>
            <w:r>
              <w:rPr>
                <w:rFonts w:ascii="宋体" w:hAnsi="宋体" w:cs="宋体"/>
                <w:position w:val="5"/>
                <w:sz w:val="24"/>
                <w:szCs w:val="24"/>
              </w:rPr>
              <w:t>年</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8588" w:type="dxa"/>
            <w:gridSpan w:val="9"/>
          </w:tcPr>
          <w:p>
            <w:pPr>
              <w:pStyle w:val="36"/>
              <w:spacing w:line="360" w:lineRule="exact"/>
              <w:jc w:val="center"/>
              <w:rPr>
                <w:rFonts w:ascii="宋体" w:hAnsi="宋体" w:cs="宋体"/>
                <w:sz w:val="24"/>
                <w:szCs w:val="24"/>
              </w:rPr>
            </w:pPr>
            <w:r>
              <w:rPr>
                <w:rFonts w:hint="eastAsia" w:ascii="宋体" w:hAnsi="宋体" w:cs="宋体"/>
                <w:sz w:val="24"/>
                <w:szCs w:val="24"/>
              </w:rPr>
              <w:t>经        历</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910" w:hRule="exact"/>
        </w:trPr>
        <w:tc>
          <w:tcPr>
            <w:tcW w:w="1238" w:type="dxa"/>
          </w:tcPr>
          <w:p>
            <w:pPr>
              <w:pStyle w:val="36"/>
              <w:spacing w:line="360" w:lineRule="exact"/>
              <w:jc w:val="center"/>
              <w:rPr>
                <w:rFonts w:ascii="宋体" w:hAnsi="宋体" w:cs="宋体"/>
                <w:sz w:val="24"/>
                <w:szCs w:val="24"/>
              </w:rPr>
            </w:pPr>
          </w:p>
          <w:p>
            <w:pPr>
              <w:pStyle w:val="36"/>
              <w:spacing w:line="360" w:lineRule="exact"/>
              <w:jc w:val="center"/>
              <w:rPr>
                <w:rFonts w:ascii="宋体" w:hAnsi="宋体" w:cs="宋体"/>
                <w:sz w:val="24"/>
                <w:szCs w:val="24"/>
              </w:rPr>
            </w:pPr>
            <w:r>
              <w:rPr>
                <w:rFonts w:hint="eastAsia" w:ascii="宋体" w:hAnsi="宋体" w:cs="宋体"/>
                <w:sz w:val="24"/>
                <w:szCs w:val="24"/>
              </w:rPr>
              <w:t>时  间</w:t>
            </w:r>
          </w:p>
        </w:tc>
        <w:tc>
          <w:tcPr>
            <w:tcW w:w="4316" w:type="dxa"/>
            <w:gridSpan w:val="5"/>
          </w:tcPr>
          <w:p>
            <w:pPr>
              <w:pStyle w:val="36"/>
              <w:spacing w:line="360" w:lineRule="exact"/>
              <w:jc w:val="center"/>
              <w:rPr>
                <w:rFonts w:ascii="宋体" w:hAnsi="宋体" w:cs="宋体"/>
                <w:sz w:val="24"/>
                <w:szCs w:val="24"/>
              </w:rPr>
            </w:pPr>
          </w:p>
          <w:p>
            <w:pPr>
              <w:pStyle w:val="36"/>
              <w:spacing w:line="360" w:lineRule="exact"/>
              <w:jc w:val="center"/>
              <w:rPr>
                <w:rFonts w:ascii="宋体" w:hAnsi="宋体" w:cs="宋体"/>
                <w:sz w:val="24"/>
                <w:szCs w:val="24"/>
              </w:rPr>
            </w:pPr>
            <w:r>
              <w:rPr>
                <w:rFonts w:ascii="宋体" w:hAnsi="宋体" w:cs="宋体"/>
                <w:sz w:val="24"/>
                <w:szCs w:val="24"/>
              </w:rPr>
              <w:t>参加过的类似工程项目名称</w:t>
            </w:r>
          </w:p>
        </w:tc>
        <w:tc>
          <w:tcPr>
            <w:tcW w:w="1717" w:type="dxa"/>
            <w:gridSpan w:val="2"/>
          </w:tcPr>
          <w:p>
            <w:pPr>
              <w:pStyle w:val="36"/>
              <w:spacing w:line="360" w:lineRule="exact"/>
              <w:jc w:val="center"/>
              <w:rPr>
                <w:rFonts w:ascii="宋体" w:hAnsi="宋体" w:cs="宋体"/>
                <w:sz w:val="24"/>
                <w:szCs w:val="24"/>
              </w:rPr>
            </w:pPr>
          </w:p>
          <w:p>
            <w:pPr>
              <w:pStyle w:val="36"/>
              <w:spacing w:line="360" w:lineRule="exact"/>
              <w:jc w:val="center"/>
              <w:rPr>
                <w:rFonts w:ascii="宋体" w:hAnsi="宋体" w:cs="宋体"/>
                <w:sz w:val="24"/>
                <w:szCs w:val="24"/>
              </w:rPr>
            </w:pPr>
            <w:r>
              <w:rPr>
                <w:rFonts w:ascii="宋体" w:hAnsi="宋体" w:cs="宋体"/>
                <w:sz w:val="24"/>
                <w:szCs w:val="24"/>
              </w:rPr>
              <w:t>担任职务</w:t>
            </w:r>
          </w:p>
        </w:tc>
        <w:tc>
          <w:tcPr>
            <w:tcW w:w="1317" w:type="dxa"/>
          </w:tcPr>
          <w:p>
            <w:pPr>
              <w:pStyle w:val="36"/>
              <w:spacing w:line="360" w:lineRule="exact"/>
              <w:jc w:val="center"/>
              <w:rPr>
                <w:rFonts w:ascii="宋体" w:hAnsi="宋体" w:cs="宋体"/>
                <w:sz w:val="24"/>
                <w:szCs w:val="24"/>
              </w:rPr>
            </w:pPr>
            <w:r>
              <w:rPr>
                <w:rFonts w:ascii="宋体" w:hAnsi="宋体" w:cs="宋体"/>
                <w:sz w:val="24"/>
                <w:szCs w:val="24"/>
              </w:rPr>
              <w:t>委托人及联 系电话</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1238" w:type="dxa"/>
          </w:tcPr>
          <w:p>
            <w:pPr>
              <w:pStyle w:val="36"/>
              <w:spacing w:line="360" w:lineRule="exact"/>
              <w:jc w:val="center"/>
              <w:rPr>
                <w:rFonts w:ascii="宋体" w:hAnsi="宋体" w:cs="宋体"/>
                <w:sz w:val="24"/>
                <w:szCs w:val="24"/>
              </w:rPr>
            </w:pPr>
          </w:p>
        </w:tc>
        <w:tc>
          <w:tcPr>
            <w:tcW w:w="4316" w:type="dxa"/>
            <w:gridSpan w:val="5"/>
          </w:tcPr>
          <w:p>
            <w:pPr>
              <w:pStyle w:val="36"/>
              <w:spacing w:line="360" w:lineRule="exact"/>
              <w:jc w:val="center"/>
              <w:rPr>
                <w:rFonts w:ascii="宋体" w:hAnsi="宋体" w:cs="宋体"/>
                <w:sz w:val="24"/>
                <w:szCs w:val="24"/>
              </w:rPr>
            </w:pPr>
          </w:p>
        </w:tc>
        <w:tc>
          <w:tcPr>
            <w:tcW w:w="1717" w:type="dxa"/>
            <w:gridSpan w:val="2"/>
          </w:tcPr>
          <w:p>
            <w:pPr>
              <w:pStyle w:val="36"/>
              <w:spacing w:line="360" w:lineRule="exact"/>
              <w:jc w:val="center"/>
              <w:rPr>
                <w:rFonts w:ascii="宋体" w:hAnsi="宋体" w:cs="宋体"/>
                <w:sz w:val="24"/>
                <w:szCs w:val="24"/>
              </w:rPr>
            </w:pPr>
          </w:p>
        </w:tc>
        <w:tc>
          <w:tcPr>
            <w:tcW w:w="1317" w:type="dxa"/>
          </w:tcPr>
          <w:p>
            <w:pPr>
              <w:pStyle w:val="36"/>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3" w:hRule="exact"/>
        </w:trPr>
        <w:tc>
          <w:tcPr>
            <w:tcW w:w="1238" w:type="dxa"/>
          </w:tcPr>
          <w:p>
            <w:pPr>
              <w:pStyle w:val="36"/>
              <w:spacing w:line="360" w:lineRule="exact"/>
              <w:jc w:val="center"/>
              <w:rPr>
                <w:rFonts w:ascii="宋体" w:hAnsi="宋体" w:cs="宋体"/>
                <w:sz w:val="24"/>
                <w:szCs w:val="24"/>
              </w:rPr>
            </w:pPr>
          </w:p>
        </w:tc>
        <w:tc>
          <w:tcPr>
            <w:tcW w:w="4316" w:type="dxa"/>
            <w:gridSpan w:val="5"/>
          </w:tcPr>
          <w:p>
            <w:pPr>
              <w:pStyle w:val="36"/>
              <w:spacing w:line="360" w:lineRule="exact"/>
              <w:jc w:val="center"/>
              <w:rPr>
                <w:rFonts w:ascii="宋体" w:hAnsi="宋体" w:cs="宋体"/>
                <w:sz w:val="24"/>
                <w:szCs w:val="24"/>
              </w:rPr>
            </w:pPr>
          </w:p>
        </w:tc>
        <w:tc>
          <w:tcPr>
            <w:tcW w:w="1717" w:type="dxa"/>
            <w:gridSpan w:val="2"/>
          </w:tcPr>
          <w:p>
            <w:pPr>
              <w:pStyle w:val="36"/>
              <w:spacing w:line="360" w:lineRule="exact"/>
              <w:jc w:val="center"/>
              <w:rPr>
                <w:rFonts w:ascii="宋体" w:hAnsi="宋体" w:cs="宋体"/>
                <w:sz w:val="24"/>
                <w:szCs w:val="24"/>
              </w:rPr>
            </w:pPr>
          </w:p>
        </w:tc>
        <w:tc>
          <w:tcPr>
            <w:tcW w:w="1317" w:type="dxa"/>
          </w:tcPr>
          <w:p>
            <w:pPr>
              <w:pStyle w:val="36"/>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3" w:hRule="exact"/>
        </w:trPr>
        <w:tc>
          <w:tcPr>
            <w:tcW w:w="1238" w:type="dxa"/>
          </w:tcPr>
          <w:p>
            <w:pPr>
              <w:pStyle w:val="36"/>
              <w:spacing w:line="360" w:lineRule="exact"/>
              <w:jc w:val="center"/>
              <w:rPr>
                <w:rFonts w:ascii="宋体" w:hAnsi="宋体" w:cs="宋体"/>
                <w:sz w:val="24"/>
                <w:szCs w:val="24"/>
              </w:rPr>
            </w:pPr>
          </w:p>
        </w:tc>
        <w:tc>
          <w:tcPr>
            <w:tcW w:w="4316" w:type="dxa"/>
            <w:gridSpan w:val="5"/>
          </w:tcPr>
          <w:p>
            <w:pPr>
              <w:pStyle w:val="36"/>
              <w:spacing w:line="360" w:lineRule="exact"/>
              <w:jc w:val="center"/>
              <w:rPr>
                <w:rFonts w:ascii="宋体" w:hAnsi="宋体" w:cs="宋体"/>
                <w:sz w:val="24"/>
                <w:szCs w:val="24"/>
              </w:rPr>
            </w:pPr>
          </w:p>
        </w:tc>
        <w:tc>
          <w:tcPr>
            <w:tcW w:w="1717" w:type="dxa"/>
            <w:gridSpan w:val="2"/>
          </w:tcPr>
          <w:p>
            <w:pPr>
              <w:pStyle w:val="36"/>
              <w:spacing w:line="360" w:lineRule="exact"/>
              <w:jc w:val="center"/>
              <w:rPr>
                <w:rFonts w:ascii="宋体" w:hAnsi="宋体" w:cs="宋体"/>
                <w:sz w:val="24"/>
                <w:szCs w:val="24"/>
              </w:rPr>
            </w:pPr>
          </w:p>
        </w:tc>
        <w:tc>
          <w:tcPr>
            <w:tcW w:w="1317" w:type="dxa"/>
          </w:tcPr>
          <w:p>
            <w:pPr>
              <w:pStyle w:val="36"/>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28" w:hRule="exact"/>
        </w:trPr>
        <w:tc>
          <w:tcPr>
            <w:tcW w:w="1238" w:type="dxa"/>
          </w:tcPr>
          <w:p>
            <w:pPr>
              <w:pStyle w:val="36"/>
              <w:spacing w:line="360" w:lineRule="exact"/>
              <w:jc w:val="center"/>
              <w:rPr>
                <w:rFonts w:ascii="宋体" w:hAnsi="宋体" w:cs="宋体"/>
                <w:sz w:val="24"/>
                <w:szCs w:val="24"/>
              </w:rPr>
            </w:pPr>
          </w:p>
        </w:tc>
        <w:tc>
          <w:tcPr>
            <w:tcW w:w="4316" w:type="dxa"/>
            <w:gridSpan w:val="5"/>
          </w:tcPr>
          <w:p>
            <w:pPr>
              <w:pStyle w:val="36"/>
              <w:spacing w:line="360" w:lineRule="exact"/>
              <w:jc w:val="center"/>
              <w:rPr>
                <w:rFonts w:ascii="宋体" w:hAnsi="宋体" w:cs="宋体"/>
                <w:sz w:val="24"/>
                <w:szCs w:val="24"/>
              </w:rPr>
            </w:pPr>
          </w:p>
        </w:tc>
        <w:tc>
          <w:tcPr>
            <w:tcW w:w="1717" w:type="dxa"/>
            <w:gridSpan w:val="2"/>
          </w:tcPr>
          <w:p>
            <w:pPr>
              <w:pStyle w:val="36"/>
              <w:spacing w:line="360" w:lineRule="exact"/>
              <w:jc w:val="center"/>
              <w:rPr>
                <w:rFonts w:ascii="宋体" w:hAnsi="宋体" w:cs="宋体"/>
                <w:sz w:val="24"/>
                <w:szCs w:val="24"/>
              </w:rPr>
            </w:pPr>
          </w:p>
        </w:tc>
        <w:tc>
          <w:tcPr>
            <w:tcW w:w="1317" w:type="dxa"/>
          </w:tcPr>
          <w:p>
            <w:pPr>
              <w:pStyle w:val="36"/>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1238" w:type="dxa"/>
          </w:tcPr>
          <w:p>
            <w:pPr>
              <w:spacing w:line="360" w:lineRule="auto"/>
              <w:ind w:firstLine="480" w:firstLineChars="200"/>
              <w:rPr>
                <w:rFonts w:ascii="宋体" w:hAnsi="宋体"/>
                <w:sz w:val="24"/>
                <w:szCs w:val="24"/>
              </w:rPr>
            </w:pPr>
          </w:p>
        </w:tc>
        <w:tc>
          <w:tcPr>
            <w:tcW w:w="4316" w:type="dxa"/>
            <w:gridSpan w:val="5"/>
          </w:tcPr>
          <w:p>
            <w:pPr>
              <w:spacing w:line="360" w:lineRule="auto"/>
              <w:ind w:firstLine="480" w:firstLineChars="200"/>
              <w:rPr>
                <w:rFonts w:ascii="宋体" w:hAnsi="宋体"/>
                <w:sz w:val="24"/>
                <w:szCs w:val="24"/>
              </w:rPr>
            </w:pPr>
          </w:p>
        </w:tc>
        <w:tc>
          <w:tcPr>
            <w:tcW w:w="1717" w:type="dxa"/>
            <w:gridSpan w:val="2"/>
          </w:tcPr>
          <w:p>
            <w:pPr>
              <w:spacing w:line="360" w:lineRule="auto"/>
              <w:ind w:firstLine="480" w:firstLineChars="200"/>
              <w:rPr>
                <w:rFonts w:ascii="宋体" w:hAnsi="宋体"/>
                <w:sz w:val="24"/>
                <w:szCs w:val="24"/>
              </w:rPr>
            </w:pPr>
          </w:p>
        </w:tc>
        <w:tc>
          <w:tcPr>
            <w:tcW w:w="1317" w:type="dxa"/>
          </w:tcPr>
          <w:p>
            <w:pPr>
              <w:spacing w:line="360" w:lineRule="auto"/>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1238" w:type="dxa"/>
          </w:tcPr>
          <w:p>
            <w:pPr>
              <w:spacing w:line="360" w:lineRule="auto"/>
              <w:ind w:firstLine="480" w:firstLineChars="200"/>
              <w:rPr>
                <w:rFonts w:ascii="宋体" w:hAnsi="宋体"/>
                <w:sz w:val="24"/>
                <w:szCs w:val="24"/>
              </w:rPr>
            </w:pPr>
          </w:p>
        </w:tc>
        <w:tc>
          <w:tcPr>
            <w:tcW w:w="4316" w:type="dxa"/>
            <w:gridSpan w:val="5"/>
          </w:tcPr>
          <w:p>
            <w:pPr>
              <w:spacing w:line="360" w:lineRule="auto"/>
              <w:ind w:firstLine="480" w:firstLineChars="200"/>
              <w:rPr>
                <w:rFonts w:ascii="宋体" w:hAnsi="宋体"/>
                <w:sz w:val="24"/>
                <w:szCs w:val="24"/>
              </w:rPr>
            </w:pPr>
          </w:p>
        </w:tc>
        <w:tc>
          <w:tcPr>
            <w:tcW w:w="1717" w:type="dxa"/>
            <w:gridSpan w:val="2"/>
          </w:tcPr>
          <w:p>
            <w:pPr>
              <w:spacing w:line="360" w:lineRule="auto"/>
              <w:ind w:firstLine="480" w:firstLineChars="200"/>
              <w:rPr>
                <w:rFonts w:ascii="宋体" w:hAnsi="宋体"/>
                <w:sz w:val="24"/>
                <w:szCs w:val="24"/>
              </w:rPr>
            </w:pPr>
          </w:p>
        </w:tc>
        <w:tc>
          <w:tcPr>
            <w:tcW w:w="1317" w:type="dxa"/>
          </w:tcPr>
          <w:p>
            <w:pPr>
              <w:spacing w:line="360" w:lineRule="auto"/>
              <w:ind w:firstLine="480" w:firstLineChars="200"/>
              <w:rPr>
                <w:rFonts w:ascii="宋体" w:hAnsi="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530" w:hRule="exact"/>
        </w:trPr>
        <w:tc>
          <w:tcPr>
            <w:tcW w:w="2453" w:type="dxa"/>
            <w:gridSpan w:val="2"/>
          </w:tcPr>
          <w:p>
            <w:pPr>
              <w:pStyle w:val="36"/>
              <w:spacing w:line="360" w:lineRule="exact"/>
              <w:jc w:val="center"/>
              <w:rPr>
                <w:rFonts w:ascii="宋体" w:hAnsi="宋体" w:cs="宋体"/>
                <w:sz w:val="24"/>
                <w:szCs w:val="24"/>
              </w:rPr>
            </w:pPr>
            <w:r>
              <w:rPr>
                <w:rFonts w:ascii="宋体" w:hAnsi="宋体" w:cs="宋体"/>
                <w:sz w:val="24"/>
                <w:szCs w:val="24"/>
              </w:rPr>
              <w:t>获奖情况</w:t>
            </w:r>
          </w:p>
        </w:tc>
        <w:tc>
          <w:tcPr>
            <w:tcW w:w="6135" w:type="dxa"/>
            <w:gridSpan w:val="7"/>
          </w:tcPr>
          <w:p>
            <w:pPr>
              <w:spacing w:line="360" w:lineRule="exact"/>
              <w:jc w:val="center"/>
              <w:rPr>
                <w:rFonts w:ascii="宋体" w:hAnsi="宋体" w:cs="宋体"/>
                <w:sz w:val="24"/>
                <w:szCs w:val="24"/>
              </w:rPr>
            </w:pP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c>
          <w:tcPr>
            <w:tcW w:w="2453" w:type="dxa"/>
            <w:gridSpan w:val="2"/>
          </w:tcPr>
          <w:p>
            <w:pPr>
              <w:pStyle w:val="36"/>
              <w:spacing w:line="360" w:lineRule="exact"/>
              <w:jc w:val="center"/>
              <w:rPr>
                <w:rFonts w:ascii="宋体" w:hAnsi="宋体" w:cs="宋体"/>
                <w:sz w:val="24"/>
                <w:szCs w:val="24"/>
              </w:rPr>
            </w:pPr>
          </w:p>
          <w:p>
            <w:pPr>
              <w:pStyle w:val="36"/>
              <w:spacing w:line="360" w:lineRule="exact"/>
              <w:jc w:val="center"/>
              <w:rPr>
                <w:rFonts w:ascii="宋体" w:hAnsi="宋体" w:cs="宋体"/>
                <w:sz w:val="24"/>
                <w:szCs w:val="24"/>
              </w:rPr>
            </w:pPr>
            <w:r>
              <w:rPr>
                <w:rFonts w:ascii="宋体" w:hAnsi="宋体" w:cs="宋体"/>
                <w:sz w:val="24"/>
                <w:szCs w:val="24"/>
              </w:rPr>
              <w:t>说明在岗情况</w:t>
            </w:r>
          </w:p>
        </w:tc>
        <w:tc>
          <w:tcPr>
            <w:tcW w:w="6135" w:type="dxa"/>
            <w:gridSpan w:val="7"/>
          </w:tcPr>
          <w:p>
            <w:pPr>
              <w:pStyle w:val="36"/>
              <w:tabs>
                <w:tab w:val="left" w:pos="5795"/>
              </w:tabs>
              <w:spacing w:line="360"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目前未在其他项目上任职，现从事工作为：</w:t>
            </w:r>
            <w:r>
              <w:rPr>
                <w:rFonts w:ascii="宋体" w:hAnsi="宋体" w:cs="宋体"/>
                <w:sz w:val="24"/>
                <w:szCs w:val="24"/>
                <w:u w:val="single"/>
              </w:rPr>
              <w:tab/>
            </w:r>
            <w:r>
              <w:rPr>
                <w:rFonts w:ascii="宋体" w:hAnsi="宋体" w:cs="宋体"/>
                <w:sz w:val="24"/>
                <w:szCs w:val="24"/>
              </w:rPr>
              <w:t>。</w:t>
            </w:r>
          </w:p>
          <w:p>
            <w:pPr>
              <w:pStyle w:val="36"/>
              <w:tabs>
                <w:tab w:val="left" w:pos="5795"/>
              </w:tabs>
              <w:spacing w:line="360" w:lineRule="auto"/>
              <w:rPr>
                <w:rFonts w:ascii="宋体" w:hAnsi="宋体" w:cs="宋体"/>
                <w:sz w:val="24"/>
                <w:szCs w:val="24"/>
              </w:rPr>
            </w:pPr>
            <w:r>
              <w:rPr>
                <w:rFonts w:hint="eastAsia" w:ascii="宋体" w:hAnsi="宋体" w:cs="宋体"/>
                <w:sz w:val="24"/>
                <w:szCs w:val="24"/>
              </w:rPr>
              <w:t xml:space="preserve">□ </w:t>
            </w:r>
            <w:r>
              <w:rPr>
                <w:rFonts w:ascii="宋体" w:hAnsi="宋体" w:cs="宋体"/>
                <w:sz w:val="24"/>
                <w:szCs w:val="24"/>
              </w:rPr>
              <w:t>目前虽在其他项目上任职，但本项目</w:t>
            </w:r>
            <w:r>
              <w:rPr>
                <w:rFonts w:hint="eastAsia" w:ascii="宋体" w:hAnsi="宋体" w:cs="宋体"/>
                <w:sz w:val="24"/>
                <w:szCs w:val="24"/>
                <w:lang w:eastAsia="zh-CN"/>
              </w:rPr>
              <w:t>成交</w:t>
            </w:r>
            <w:r>
              <w:rPr>
                <w:rFonts w:ascii="宋体" w:hAnsi="宋体" w:cs="宋体"/>
                <w:sz w:val="24"/>
                <w:szCs w:val="24"/>
              </w:rPr>
              <w:t>后能够从该项目撤离，</w:t>
            </w:r>
          </w:p>
          <w:p>
            <w:pPr>
              <w:pStyle w:val="36"/>
              <w:tabs>
                <w:tab w:val="left" w:pos="3107"/>
              </w:tabs>
              <w:spacing w:line="360" w:lineRule="auto"/>
              <w:rPr>
                <w:rFonts w:ascii="宋体" w:hAnsi="宋体" w:cs="宋体"/>
                <w:sz w:val="24"/>
                <w:szCs w:val="24"/>
              </w:rPr>
            </w:pPr>
            <w:r>
              <w:rPr>
                <w:rFonts w:ascii="宋体" w:hAnsi="宋体" w:cs="宋体"/>
                <w:position w:val="1"/>
                <w:sz w:val="24"/>
                <w:szCs w:val="24"/>
              </w:rPr>
              <w:t>目前任职项目：</w:t>
            </w:r>
            <w:r>
              <w:rPr>
                <w:rFonts w:ascii="宋体" w:hAnsi="宋体" w:cs="宋体"/>
                <w:sz w:val="24"/>
                <w:szCs w:val="24"/>
                <w:u w:val="single"/>
              </w:rPr>
              <w:tab/>
            </w:r>
            <w:r>
              <w:rPr>
                <w:rFonts w:hint="eastAsia" w:ascii="宋体" w:hAnsi="宋体"/>
                <w:sz w:val="24"/>
                <w:szCs w:val="24"/>
              </w:rPr>
              <w:t>，</w:t>
            </w:r>
            <w:r>
              <w:rPr>
                <w:rFonts w:hint="eastAsia" w:ascii="宋体" w:hAnsi="宋体" w:cs="宋体"/>
                <w:sz w:val="24"/>
                <w:szCs w:val="24"/>
              </w:rPr>
              <w:t>担</w:t>
            </w:r>
            <w:r>
              <w:rPr>
                <w:rFonts w:ascii="宋体" w:hAnsi="宋体" w:cs="宋体"/>
                <w:sz w:val="24"/>
                <w:szCs w:val="24"/>
              </w:rPr>
              <w:t>任职位：</w:t>
            </w:r>
            <w:r>
              <w:rPr>
                <w:rFonts w:ascii="宋体" w:hAnsi="宋体" w:cs="宋体"/>
                <w:sz w:val="24"/>
                <w:szCs w:val="24"/>
                <w:u w:val="single"/>
              </w:rPr>
              <w:tab/>
            </w:r>
            <w:r>
              <w:rPr>
                <w:rFonts w:hint="eastAsia" w:ascii="宋体" w:hAnsi="宋体" w:cs="宋体"/>
                <w:sz w:val="24"/>
                <w:szCs w:val="24"/>
              </w:rPr>
              <w:t>。</w:t>
            </w:r>
          </w:p>
        </w:tc>
      </w:tr>
      <w:tr>
        <w:tblPrEx>
          <w:tblBorders>
            <w:top w:val="single" w:color="000000" w:sz="18" w:space="0"/>
            <w:left w:val="single" w:color="000000" w:sz="18" w:space="0"/>
            <w:bottom w:val="single" w:color="000000" w:sz="18" w:space="0"/>
            <w:right w:val="single" w:color="000000" w:sz="18" w:space="0"/>
            <w:insideH w:val="single" w:color="000000" w:sz="6" w:space="0"/>
            <w:insideV w:val="single" w:color="000000" w:sz="6" w:space="0"/>
          </w:tblBorders>
          <w:tblCellMar>
            <w:top w:w="0" w:type="dxa"/>
            <w:left w:w="108" w:type="dxa"/>
            <w:bottom w:w="0" w:type="dxa"/>
            <w:right w:w="108" w:type="dxa"/>
          </w:tblCellMar>
        </w:tblPrEx>
        <w:trPr>
          <w:trHeight w:val="709" w:hRule="exact"/>
        </w:trPr>
        <w:tc>
          <w:tcPr>
            <w:tcW w:w="2453" w:type="dxa"/>
            <w:gridSpan w:val="2"/>
            <w:vAlign w:val="center"/>
          </w:tcPr>
          <w:p>
            <w:pPr>
              <w:pStyle w:val="36"/>
              <w:spacing w:line="360" w:lineRule="exact"/>
              <w:jc w:val="center"/>
              <w:rPr>
                <w:rFonts w:ascii="宋体" w:hAnsi="宋体" w:cs="宋体"/>
                <w:sz w:val="24"/>
                <w:szCs w:val="24"/>
              </w:rPr>
            </w:pPr>
            <w:r>
              <w:rPr>
                <w:rFonts w:ascii="宋体" w:hAnsi="宋体" w:cs="宋体"/>
                <w:sz w:val="24"/>
                <w:szCs w:val="24"/>
              </w:rPr>
              <w:t>备</w:t>
            </w:r>
            <w:r>
              <w:rPr>
                <w:rFonts w:ascii="宋体" w:hAnsi="宋体" w:cs="宋体"/>
                <w:sz w:val="24"/>
                <w:szCs w:val="24"/>
              </w:rPr>
              <w:tab/>
            </w:r>
            <w:r>
              <w:rPr>
                <w:rFonts w:hint="eastAsia" w:ascii="宋体" w:hAnsi="宋体" w:cs="宋体"/>
                <w:sz w:val="24"/>
                <w:szCs w:val="24"/>
              </w:rPr>
              <w:t>注</w:t>
            </w:r>
          </w:p>
          <w:p>
            <w:pPr>
              <w:pStyle w:val="36"/>
              <w:spacing w:line="360" w:lineRule="exact"/>
              <w:jc w:val="center"/>
              <w:rPr>
                <w:rFonts w:ascii="宋体" w:hAnsi="宋体" w:cs="宋体"/>
                <w:sz w:val="24"/>
                <w:szCs w:val="24"/>
              </w:rPr>
            </w:pPr>
          </w:p>
        </w:tc>
        <w:tc>
          <w:tcPr>
            <w:tcW w:w="6135" w:type="dxa"/>
            <w:gridSpan w:val="7"/>
          </w:tcPr>
          <w:p>
            <w:pPr>
              <w:spacing w:line="360" w:lineRule="auto"/>
              <w:ind w:firstLine="480" w:firstLineChars="200"/>
              <w:rPr>
                <w:rFonts w:ascii="宋体" w:hAnsi="宋体"/>
                <w:sz w:val="24"/>
                <w:szCs w:val="24"/>
              </w:rPr>
            </w:pPr>
          </w:p>
        </w:tc>
      </w:tr>
    </w:tbl>
    <w:p>
      <w:pPr>
        <w:spacing w:line="360" w:lineRule="auto"/>
        <w:rPr>
          <w:rFonts w:ascii="宋体" w:hAnsi="宋体" w:cs="宋体"/>
          <w:sz w:val="20"/>
          <w:szCs w:val="20"/>
        </w:rPr>
        <w:sectPr>
          <w:pgSz w:w="11910" w:h="16840"/>
          <w:pgMar w:top="1440" w:right="1800" w:bottom="1440" w:left="1800" w:header="1034" w:footer="1202" w:gutter="0"/>
          <w:cols w:space="720" w:num="1"/>
        </w:sectPr>
      </w:pPr>
    </w:p>
    <w:p>
      <w:pPr>
        <w:spacing w:before="49"/>
        <w:ind w:left="417" w:right="689"/>
        <w:jc w:val="both"/>
        <w:rPr>
          <w:rFonts w:hint="eastAsia" w:ascii="楷体" w:hAnsi="楷体" w:eastAsia="楷体" w:cs="楷体"/>
          <w:b/>
          <w:bCs/>
          <w:sz w:val="36"/>
          <w:szCs w:val="36"/>
          <w:lang w:val="zh-CN" w:eastAsia="zh-CN" w:bidi="zh-CN"/>
        </w:rPr>
      </w:pPr>
      <w:bookmarkStart w:id="257" w:name="_Toc522960725"/>
      <w:r>
        <w:rPr>
          <w:rFonts w:hint="eastAsia" w:ascii="楷体" w:hAnsi="楷体" w:eastAsia="楷体" w:cs="楷体"/>
          <w:b/>
          <w:bCs/>
          <w:sz w:val="36"/>
          <w:szCs w:val="36"/>
          <w:lang w:val="zh-CN" w:eastAsia="zh-CN" w:bidi="zh-CN"/>
        </w:rPr>
        <w:t>附件6：</w:t>
      </w:r>
    </w:p>
    <w:bookmarkEnd w:id="257"/>
    <w:p>
      <w:pPr>
        <w:spacing w:before="49"/>
        <w:ind w:left="417" w:right="689"/>
        <w:jc w:val="center"/>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监理大纲</w:t>
      </w:r>
    </w:p>
    <w:p>
      <w:pPr>
        <w:spacing w:line="360" w:lineRule="auto"/>
        <w:ind w:firstLine="400" w:firstLineChars="200"/>
        <w:rPr>
          <w:rFonts w:ascii="宋体" w:hAnsi="宋体" w:cs="宋体"/>
          <w:sz w:val="20"/>
          <w:szCs w:val="20"/>
        </w:rPr>
      </w:pPr>
    </w:p>
    <w:p>
      <w:pPr>
        <w:spacing w:line="360" w:lineRule="auto"/>
        <w:ind w:firstLine="400" w:firstLineChars="200"/>
        <w:rPr>
          <w:rFonts w:ascii="宋体" w:hAnsi="宋体" w:cs="宋体"/>
          <w:sz w:val="20"/>
          <w:szCs w:val="20"/>
        </w:rPr>
      </w:pPr>
    </w:p>
    <w:p>
      <w:pPr>
        <w:widowControl/>
        <w:autoSpaceDE/>
        <w:autoSpaceDN/>
        <w:rPr>
          <w:rFonts w:ascii="宋体" w:hAnsi="宋体" w:eastAsia="宋体"/>
          <w:b/>
          <w:sz w:val="29"/>
          <w:szCs w:val="29"/>
        </w:rPr>
      </w:pPr>
      <w:r>
        <w:rPr>
          <w:rFonts w:ascii="宋体" w:hAnsi="宋体" w:eastAsia="宋体"/>
          <w:b/>
          <w:sz w:val="29"/>
          <w:szCs w:val="29"/>
        </w:rPr>
        <w:br w:type="page"/>
      </w:r>
    </w:p>
    <w:p>
      <w:pPr>
        <w:spacing w:before="49"/>
        <w:ind w:left="417" w:right="689"/>
        <w:jc w:val="both"/>
        <w:rPr>
          <w:rFonts w:hint="eastAsia" w:ascii="楷体" w:hAnsi="楷体" w:eastAsia="楷体" w:cs="楷体"/>
          <w:b/>
          <w:bCs/>
          <w:sz w:val="36"/>
          <w:szCs w:val="36"/>
          <w:lang w:val="zh-CN" w:eastAsia="zh-CN" w:bidi="zh-CN"/>
        </w:rPr>
      </w:pPr>
      <w:r>
        <w:rPr>
          <w:rFonts w:hint="eastAsia" w:ascii="楷体" w:hAnsi="楷体" w:eastAsia="楷体" w:cs="楷体"/>
          <w:b/>
          <w:bCs/>
          <w:sz w:val="36"/>
          <w:szCs w:val="36"/>
          <w:lang w:val="zh-CN" w:eastAsia="zh-CN" w:bidi="zh-CN"/>
        </w:rPr>
        <w:t>附件7：</w:t>
      </w:r>
    </w:p>
    <w:p>
      <w:pPr>
        <w:spacing w:before="49"/>
        <w:ind w:left="417" w:right="689"/>
        <w:jc w:val="both"/>
        <w:rPr>
          <w:rFonts w:hint="eastAsia" w:ascii="楷体" w:hAnsi="楷体" w:eastAsia="楷体" w:cs="楷体"/>
          <w:b/>
          <w:bCs/>
          <w:sz w:val="36"/>
          <w:szCs w:val="36"/>
          <w:lang w:val="zh-CN" w:eastAsia="zh-CN" w:bidi="zh-CN"/>
        </w:rPr>
      </w:pPr>
    </w:p>
    <w:p>
      <w:pPr>
        <w:spacing w:before="49"/>
        <w:ind w:left="417" w:right="689"/>
        <w:jc w:val="center"/>
        <w:rPr>
          <w:rFonts w:hint="eastAsia" w:ascii="楷体" w:hAnsi="楷体" w:eastAsia="楷体" w:cs="楷体"/>
          <w:b/>
          <w:bCs/>
          <w:sz w:val="36"/>
          <w:szCs w:val="36"/>
          <w:lang w:val="zh-CN" w:eastAsia="zh-CN" w:bidi="zh-CN"/>
        </w:rPr>
      </w:pPr>
      <w:bookmarkStart w:id="258" w:name="_Toc522960726"/>
      <w:r>
        <w:rPr>
          <w:rFonts w:hint="eastAsia" w:ascii="楷体" w:hAnsi="楷体" w:eastAsia="楷体" w:cs="楷体"/>
          <w:b/>
          <w:bCs/>
          <w:sz w:val="36"/>
          <w:szCs w:val="36"/>
          <w:lang w:val="zh-CN" w:eastAsia="zh-CN" w:bidi="zh-CN"/>
        </w:rPr>
        <w:t>其他资料</w:t>
      </w:r>
      <w:bookmarkEnd w:id="258"/>
    </w:p>
    <w:p>
      <w:pPr>
        <w:spacing w:line="360" w:lineRule="auto"/>
        <w:ind w:firstLine="420" w:firstLineChars="200"/>
        <w:jc w:val="center"/>
        <w:rPr>
          <w:rFonts w:ascii="宋体" w:hAnsi="宋体"/>
          <w:sz w:val="21"/>
          <w:szCs w:val="21"/>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adjustRightInd w:val="0"/>
        <w:spacing w:line="276" w:lineRule="auto"/>
        <w:rPr>
          <w:rFonts w:ascii="宋体" w:hAnsi="宋体" w:eastAsia="宋体"/>
          <w:sz w:val="28"/>
          <w:szCs w:val="28"/>
        </w:rPr>
      </w:pPr>
    </w:p>
    <w:p>
      <w:pPr>
        <w:widowControl/>
        <w:autoSpaceDE/>
        <w:autoSpaceDN/>
        <w:rPr>
          <w:b/>
          <w:bCs/>
          <w:szCs w:val="40"/>
        </w:rPr>
      </w:pPr>
      <w:r>
        <w:rPr>
          <w:b/>
          <w:bCs/>
          <w:szCs w:val="40"/>
        </w:rPr>
        <w:br w:type="page"/>
      </w:r>
    </w:p>
    <w:p>
      <w:pPr>
        <w:spacing w:before="49"/>
        <w:ind w:left="417" w:right="689"/>
        <w:jc w:val="center"/>
        <w:rPr>
          <w:rFonts w:hint="eastAsia" w:ascii="楷体" w:hAnsi="楷体" w:eastAsia="楷体" w:cs="楷体"/>
          <w:b/>
          <w:bCs/>
          <w:sz w:val="36"/>
          <w:szCs w:val="36"/>
          <w:lang w:val="zh-CN" w:eastAsia="zh-CN" w:bidi="zh-CN"/>
        </w:rPr>
      </w:pPr>
      <w:bookmarkStart w:id="259" w:name="_Toc26198"/>
      <w:r>
        <w:rPr>
          <w:rFonts w:hint="eastAsia" w:ascii="楷体" w:hAnsi="楷体" w:eastAsia="楷体" w:cs="楷体"/>
          <w:b/>
          <w:bCs/>
          <w:sz w:val="36"/>
          <w:szCs w:val="36"/>
          <w:lang w:val="zh-CN" w:eastAsia="zh-CN" w:bidi="zh-CN"/>
        </w:rPr>
        <w:t>最终报价表</w:t>
      </w:r>
      <w:bookmarkEnd w:id="259"/>
    </w:p>
    <w:p>
      <w:pPr>
        <w:jc w:val="left"/>
        <w:rPr>
          <w:rFonts w:hint="eastAsia" w:ascii="宋体" w:hAnsi="宋体" w:eastAsia="宋体"/>
          <w:color w:val="auto"/>
          <w:sz w:val="24"/>
          <w:lang w:eastAsia="zh-CN"/>
        </w:rPr>
      </w:pPr>
      <w:r>
        <w:rPr>
          <w:rFonts w:hint="eastAsia" w:ascii="宋体" w:hAnsi="宋体" w:eastAsia="宋体"/>
          <w:color w:val="auto"/>
          <w:sz w:val="24"/>
          <w:lang w:eastAsia="zh-CN"/>
        </w:rPr>
        <w:t>项目名称：</w:t>
      </w: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r>
        <w:rPr>
          <w:rFonts w:hint="eastAsia" w:ascii="宋体" w:hAnsi="宋体" w:eastAsia="宋体"/>
          <w:color w:val="auto"/>
          <w:sz w:val="24"/>
          <w:lang w:eastAsia="zh-CN"/>
        </w:rPr>
        <w:t>项目编码：</w:t>
      </w:r>
    </w:p>
    <w:tbl>
      <w:tblPr>
        <w:tblStyle w:val="21"/>
        <w:tblW w:w="8775" w:type="dxa"/>
        <w:tblInd w:w="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5"/>
        <w:gridCol w:w="64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供应商全称</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磋商报价（元）</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监理服务期限</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费率（</w:t>
            </w:r>
            <w:r>
              <w:rPr>
                <w:rFonts w:hint="eastAsia" w:ascii="宋体" w:hAnsi="宋体" w:eastAsia="宋体"/>
                <w:color w:val="auto"/>
                <w:sz w:val="24"/>
                <w:lang w:val="en-US" w:eastAsia="zh-CN"/>
              </w:rPr>
              <w:t>%</w:t>
            </w:r>
            <w:r>
              <w:rPr>
                <w:rFonts w:hint="eastAsia" w:ascii="宋体" w:hAnsi="宋体" w:eastAsia="宋体"/>
                <w:color w:val="auto"/>
                <w:sz w:val="24"/>
                <w:lang w:eastAsia="zh-CN"/>
              </w:rPr>
              <w:t>）</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质量要求</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2345" w:type="dxa"/>
            <w:vAlign w:val="center"/>
          </w:tcPr>
          <w:p>
            <w:pPr>
              <w:jc w:val="center"/>
              <w:rPr>
                <w:rFonts w:hint="eastAsia" w:ascii="宋体" w:hAnsi="宋体" w:eastAsia="宋体"/>
                <w:color w:val="auto"/>
                <w:sz w:val="24"/>
                <w:lang w:eastAsia="zh-CN"/>
              </w:rPr>
            </w:pPr>
            <w:r>
              <w:rPr>
                <w:rFonts w:hint="eastAsia" w:ascii="宋体" w:hAnsi="宋体" w:eastAsia="宋体"/>
                <w:color w:val="auto"/>
                <w:sz w:val="24"/>
                <w:lang w:eastAsia="zh-CN"/>
              </w:rPr>
              <w:t>安全目标</w:t>
            </w:r>
          </w:p>
        </w:tc>
        <w:tc>
          <w:tcPr>
            <w:tcW w:w="6430" w:type="dxa"/>
            <w:vAlign w:val="center"/>
          </w:tcPr>
          <w:p>
            <w:pPr>
              <w:jc w:val="center"/>
              <w:rPr>
                <w:rFonts w:hint="eastAsia" w:ascii="宋体" w:hAnsi="宋体" w:eastAsia="宋体"/>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8" w:hRule="atLeast"/>
        </w:trPr>
        <w:tc>
          <w:tcPr>
            <w:tcW w:w="8775" w:type="dxa"/>
            <w:gridSpan w:val="2"/>
            <w:vAlign w:val="center"/>
          </w:tcPr>
          <w:p>
            <w:pPr>
              <w:jc w:val="center"/>
              <w:rPr>
                <w:rFonts w:hint="eastAsia" w:ascii="宋体" w:hAnsi="宋体" w:eastAsia="宋体"/>
                <w:color w:val="auto"/>
                <w:sz w:val="24"/>
                <w:lang w:eastAsia="zh-CN"/>
              </w:rPr>
            </w:pPr>
          </w:p>
          <w:p>
            <w:pPr>
              <w:jc w:val="left"/>
              <w:rPr>
                <w:rFonts w:hint="eastAsia" w:ascii="宋体" w:hAnsi="宋体" w:eastAsia="宋体"/>
                <w:color w:val="auto"/>
                <w:sz w:val="24"/>
                <w:lang w:eastAsia="zh-CN"/>
              </w:rPr>
            </w:pPr>
            <w:r>
              <w:rPr>
                <w:rFonts w:hint="eastAsia" w:ascii="宋体" w:hAnsi="宋体" w:eastAsia="宋体"/>
                <w:color w:val="auto"/>
                <w:sz w:val="24"/>
                <w:lang w:eastAsia="zh-CN"/>
              </w:rPr>
              <w:t>供应商：（盖章）</w:t>
            </w: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p>
          <w:p>
            <w:pPr>
              <w:jc w:val="left"/>
              <w:rPr>
                <w:rFonts w:hint="eastAsia" w:ascii="宋体" w:hAnsi="宋体" w:eastAsia="宋体"/>
                <w:color w:val="auto"/>
                <w:sz w:val="24"/>
                <w:lang w:eastAsia="zh-CN"/>
              </w:rPr>
            </w:pPr>
            <w:r>
              <w:rPr>
                <w:rFonts w:hint="eastAsia" w:ascii="宋体" w:hAnsi="宋体" w:eastAsia="宋体"/>
                <w:color w:val="auto"/>
                <w:sz w:val="24"/>
                <w:lang w:eastAsia="zh-CN"/>
              </w:rPr>
              <w:t>法定代表人（或委托代理人）：（签字）</w:t>
            </w: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p>
          <w:p>
            <w:pPr>
              <w:jc w:val="center"/>
              <w:rPr>
                <w:rFonts w:hint="eastAsia" w:ascii="宋体" w:hAnsi="宋体" w:eastAsia="宋体"/>
                <w:color w:val="auto"/>
                <w:sz w:val="24"/>
                <w:lang w:eastAsia="zh-CN"/>
              </w:rPr>
            </w:pPr>
            <w:r>
              <w:rPr>
                <w:rFonts w:hint="eastAsia" w:ascii="宋体" w:hAnsi="宋体" w:eastAsia="宋体"/>
                <w:color w:val="auto"/>
                <w:sz w:val="24"/>
                <w:lang w:eastAsia="zh-CN"/>
              </w:rPr>
              <w:t>日期：　年　月　日</w:t>
            </w:r>
          </w:p>
        </w:tc>
      </w:tr>
    </w:tbl>
    <w:p>
      <w:pPr>
        <w:jc w:val="both"/>
        <w:rPr>
          <w:rFonts w:hint="eastAsia" w:ascii="宋体" w:hAnsi="宋体" w:eastAsia="宋体"/>
          <w:b/>
          <w:bCs/>
          <w:color w:val="auto"/>
          <w:sz w:val="24"/>
          <w:lang w:eastAsia="zh-CN"/>
        </w:rPr>
      </w:pPr>
      <w:r>
        <w:rPr>
          <w:rFonts w:hint="eastAsia" w:ascii="宋体" w:hAnsi="宋体" w:eastAsia="宋体"/>
          <w:b/>
          <w:bCs/>
          <w:color w:val="auto"/>
          <w:sz w:val="24"/>
          <w:lang w:eastAsia="zh-CN"/>
        </w:rPr>
        <w:t>（说明：磋商供应商按以上格式制作“竞争性磋商最终报价表”，并加盖单位公章后携带到磋商现场，供应商响应文件中不附此报价单）</w:t>
      </w:r>
    </w:p>
    <w:p>
      <w:pPr>
        <w:widowControl/>
        <w:rPr>
          <w:b/>
          <w:sz w:val="24"/>
        </w:rPr>
      </w:pPr>
      <w:r>
        <w:rPr>
          <w:b/>
          <w:sz w:val="24"/>
        </w:rPr>
        <w:br w:type="page"/>
      </w:r>
    </w:p>
    <w:p>
      <w:pPr>
        <w:adjustRightInd w:val="0"/>
        <w:spacing w:line="276" w:lineRule="auto"/>
        <w:rPr>
          <w:rFonts w:ascii="宋体" w:hAnsi="宋体" w:eastAsia="宋体"/>
          <w:sz w:val="28"/>
          <w:szCs w:val="28"/>
        </w:rPr>
      </w:pPr>
    </w:p>
    <w:p>
      <w:pPr>
        <w:adjustRightInd w:val="0"/>
        <w:spacing w:line="276" w:lineRule="auto"/>
        <w:outlineLvl w:val="0"/>
        <w:rPr>
          <w:rFonts w:ascii="宋体" w:hAnsi="宋体" w:eastAsia="宋体"/>
          <w:sz w:val="28"/>
          <w:szCs w:val="28"/>
        </w:rPr>
      </w:pPr>
      <w:bookmarkStart w:id="260" w:name="_Toc30297"/>
      <w:r>
        <w:rPr>
          <w:rFonts w:hint="eastAsia" w:ascii="宋体" w:hAnsi="宋体" w:eastAsia="宋体"/>
          <w:sz w:val="28"/>
          <w:szCs w:val="28"/>
        </w:rPr>
        <w:t>附表：</w:t>
      </w:r>
      <w:bookmarkEnd w:id="260"/>
    </w:p>
    <w:p>
      <w:pPr>
        <w:spacing w:line="276" w:lineRule="auto"/>
        <w:jc w:val="center"/>
        <w:rPr>
          <w:rFonts w:ascii="宋体" w:hAnsi="宋体" w:cs="宋体"/>
          <w:b/>
          <w:bCs/>
          <w:sz w:val="28"/>
        </w:rPr>
      </w:pPr>
      <w:r>
        <w:rPr>
          <w:rFonts w:hint="eastAsia" w:ascii="宋体" w:hAnsi="宋体" w:cs="宋体"/>
          <w:b/>
          <w:bCs/>
          <w:sz w:val="28"/>
        </w:rPr>
        <w:t>供应商递交各类证明资料原件登记表</w:t>
      </w:r>
    </w:p>
    <w:p>
      <w:pPr>
        <w:spacing w:line="276" w:lineRule="auto"/>
        <w:rPr>
          <w:rFonts w:ascii="宋体" w:hAnsi="宋体" w:cs="宋体"/>
          <w:sz w:val="24"/>
        </w:rPr>
      </w:pPr>
    </w:p>
    <w:p>
      <w:pPr>
        <w:spacing w:line="276" w:lineRule="auto"/>
        <w:rPr>
          <w:rFonts w:ascii="宋体" w:hAnsi="宋体" w:cs="宋体"/>
          <w:sz w:val="24"/>
        </w:rPr>
      </w:pPr>
      <w:r>
        <w:rPr>
          <w:rFonts w:hint="eastAsia" w:ascii="宋体" w:hAnsi="宋体" w:cs="宋体"/>
          <w:sz w:val="24"/>
        </w:rPr>
        <w:t>供应商：</w:t>
      </w:r>
    </w:p>
    <w:p>
      <w:pPr>
        <w:spacing w:line="276" w:lineRule="auto"/>
        <w:rPr>
          <w:rFonts w:ascii="宋体" w:hAnsi="宋体" w:cs="宋体"/>
          <w:sz w:val="24"/>
        </w:rPr>
      </w:pPr>
      <w:r>
        <w:rPr>
          <w:rFonts w:hint="eastAsia" w:ascii="宋体" w:hAnsi="宋体" w:cs="宋体"/>
          <w:sz w:val="24"/>
        </w:rPr>
        <w:t>项目编号及名称：           年  月  日</w:t>
      </w:r>
    </w:p>
    <w:tbl>
      <w:tblPr>
        <w:tblStyle w:val="21"/>
        <w:tblW w:w="8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378"/>
        <w:gridCol w:w="2920"/>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817" w:type="dxa"/>
          </w:tcPr>
          <w:p>
            <w:pPr>
              <w:spacing w:line="276" w:lineRule="auto"/>
              <w:jc w:val="center"/>
              <w:rPr>
                <w:rFonts w:ascii="宋体" w:hAnsi="宋体" w:cs="宋体"/>
                <w:sz w:val="24"/>
              </w:rPr>
            </w:pPr>
            <w:r>
              <w:rPr>
                <w:rFonts w:hint="eastAsia" w:ascii="宋体" w:hAnsi="宋体" w:cs="宋体"/>
                <w:sz w:val="24"/>
              </w:rPr>
              <w:t>序号</w:t>
            </w:r>
          </w:p>
        </w:tc>
        <w:tc>
          <w:tcPr>
            <w:tcW w:w="3378" w:type="dxa"/>
          </w:tcPr>
          <w:p>
            <w:pPr>
              <w:spacing w:line="276" w:lineRule="auto"/>
              <w:jc w:val="center"/>
              <w:rPr>
                <w:rFonts w:ascii="宋体" w:hAnsi="宋体" w:cs="宋体"/>
                <w:sz w:val="24"/>
              </w:rPr>
            </w:pPr>
            <w:r>
              <w:rPr>
                <w:rFonts w:hint="eastAsia" w:ascii="宋体" w:hAnsi="宋体" w:cs="宋体"/>
                <w:sz w:val="24"/>
              </w:rPr>
              <w:t>资料名称</w:t>
            </w:r>
          </w:p>
        </w:tc>
        <w:tc>
          <w:tcPr>
            <w:tcW w:w="2920" w:type="dxa"/>
          </w:tcPr>
          <w:p>
            <w:pPr>
              <w:spacing w:line="276" w:lineRule="auto"/>
              <w:jc w:val="center"/>
              <w:rPr>
                <w:rFonts w:ascii="宋体" w:hAnsi="宋体" w:cs="宋体"/>
                <w:sz w:val="24"/>
              </w:rPr>
            </w:pPr>
            <w:r>
              <w:rPr>
                <w:rFonts w:hint="eastAsia" w:ascii="宋体" w:hAnsi="宋体" w:cs="宋体"/>
                <w:sz w:val="24"/>
              </w:rPr>
              <w:t>份数</w:t>
            </w:r>
          </w:p>
        </w:tc>
        <w:tc>
          <w:tcPr>
            <w:tcW w:w="1454" w:type="dxa"/>
          </w:tcPr>
          <w:p>
            <w:pPr>
              <w:spacing w:line="276" w:lineRule="auto"/>
              <w:jc w:val="center"/>
              <w:rPr>
                <w:rFonts w:ascii="宋体" w:hAnsi="宋体" w:cs="宋体"/>
                <w:sz w:val="24"/>
              </w:rPr>
            </w:pPr>
            <w:r>
              <w:rPr>
                <w:rFonts w:hint="eastAsia" w:ascii="宋体"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rPr>
                <w:rFonts w:ascii="宋体" w:hAnsi="宋体" w:cs="宋体"/>
              </w:rPr>
            </w:pPr>
          </w:p>
        </w:tc>
        <w:tc>
          <w:tcPr>
            <w:tcW w:w="3378" w:type="dxa"/>
            <w:vAlign w:val="center"/>
          </w:tcPr>
          <w:p>
            <w:pPr>
              <w:spacing w:line="276" w:lineRule="auto"/>
              <w:rPr>
                <w:rFonts w:ascii="宋体" w:hAnsi="宋体" w:cs="宋体"/>
              </w:rPr>
            </w:pPr>
          </w:p>
        </w:tc>
        <w:tc>
          <w:tcPr>
            <w:tcW w:w="2920" w:type="dxa"/>
            <w:vAlign w:val="center"/>
          </w:tcPr>
          <w:p>
            <w:pPr>
              <w:spacing w:line="276" w:lineRule="auto"/>
              <w:rPr>
                <w:rFonts w:ascii="宋体" w:hAnsi="宋体" w:cs="宋体"/>
              </w:rPr>
            </w:pPr>
          </w:p>
        </w:tc>
        <w:tc>
          <w:tcPr>
            <w:tcW w:w="1454" w:type="dxa"/>
            <w:vAlign w:val="center"/>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817" w:type="dxa"/>
            <w:vAlign w:val="center"/>
          </w:tcPr>
          <w:p>
            <w:pPr>
              <w:spacing w:line="276" w:lineRule="auto"/>
              <w:jc w:val="center"/>
              <w:rPr>
                <w:rFonts w:ascii="宋体" w:hAnsi="宋体" w:cs="宋体"/>
              </w:rPr>
            </w:pPr>
          </w:p>
        </w:tc>
        <w:tc>
          <w:tcPr>
            <w:tcW w:w="3378" w:type="dxa"/>
          </w:tcPr>
          <w:p>
            <w:pPr>
              <w:spacing w:line="276" w:lineRule="auto"/>
              <w:rPr>
                <w:rFonts w:ascii="宋体" w:hAnsi="宋体" w:cs="宋体"/>
              </w:rPr>
            </w:pPr>
          </w:p>
        </w:tc>
        <w:tc>
          <w:tcPr>
            <w:tcW w:w="2920" w:type="dxa"/>
          </w:tcPr>
          <w:p>
            <w:pPr>
              <w:spacing w:line="276" w:lineRule="auto"/>
              <w:rPr>
                <w:rFonts w:ascii="宋体" w:hAnsi="宋体" w:cs="宋体"/>
              </w:rPr>
            </w:pPr>
          </w:p>
        </w:tc>
        <w:tc>
          <w:tcPr>
            <w:tcW w:w="1454" w:type="dxa"/>
          </w:tcPr>
          <w:p>
            <w:pPr>
              <w:spacing w:line="276" w:lineRule="auto"/>
              <w:rPr>
                <w:rFonts w:ascii="宋体" w:hAnsi="宋体" w:cs="宋体"/>
              </w:rPr>
            </w:pPr>
          </w:p>
        </w:tc>
      </w:tr>
    </w:tbl>
    <w:p>
      <w:pPr>
        <w:spacing w:line="276" w:lineRule="auto"/>
        <w:rPr>
          <w:rFonts w:ascii="宋体" w:hAnsi="宋体"/>
          <w:b/>
          <w:sz w:val="24"/>
        </w:rPr>
      </w:pPr>
    </w:p>
    <w:p>
      <w:pPr>
        <w:spacing w:line="276" w:lineRule="auto"/>
        <w:rPr>
          <w:rFonts w:ascii="宋体" w:hAnsi="宋体" w:cs="宋体"/>
          <w:szCs w:val="21"/>
        </w:rPr>
      </w:pPr>
      <w:r>
        <w:rPr>
          <w:rFonts w:hint="eastAsia" w:ascii="宋体" w:hAnsi="宋体"/>
          <w:b/>
          <w:sz w:val="24"/>
        </w:rPr>
        <w:t>注：本表不需装订在响应文件中，填写并加盖公章后在投标截止时间前随同证明资料原件单独提交招标人。表格不够可自行增加。</w:t>
      </w:r>
    </w:p>
    <w:p>
      <w:pPr>
        <w:spacing w:line="276" w:lineRule="auto"/>
        <w:rPr>
          <w:rFonts w:ascii="宋体" w:hAnsi="宋体"/>
          <w:b/>
          <w:sz w:val="24"/>
        </w:rPr>
      </w:pPr>
    </w:p>
    <w:p>
      <w:pPr>
        <w:spacing w:line="276" w:lineRule="auto"/>
        <w:rPr>
          <w:rFonts w:ascii="宋体" w:hAnsi="宋体" w:cs="宋体"/>
          <w:sz w:val="24"/>
        </w:rPr>
      </w:pPr>
      <w:r>
        <w:rPr>
          <w:rFonts w:hint="eastAsia" w:ascii="宋体" w:hAnsi="宋体" w:cs="宋体"/>
          <w:sz w:val="24"/>
        </w:rPr>
        <w:t>供应商名称：</w:t>
      </w:r>
    </w:p>
    <w:p>
      <w:pPr>
        <w:spacing w:line="276" w:lineRule="auto"/>
        <w:rPr>
          <w:rFonts w:ascii="宋体" w:hAnsi="宋体" w:cs="宋体"/>
          <w:sz w:val="24"/>
          <w:u w:val="single"/>
        </w:rPr>
      </w:pPr>
      <w:r>
        <w:rPr>
          <w:rFonts w:hint="eastAsia" w:ascii="宋体" w:hAnsi="宋体" w:cs="宋体"/>
          <w:sz w:val="24"/>
        </w:rPr>
        <w:t>联系人：</w:t>
      </w:r>
    </w:p>
    <w:p>
      <w:pPr>
        <w:spacing w:line="276" w:lineRule="auto"/>
        <w:rPr>
          <w:rFonts w:ascii="宋体" w:hAnsi="宋体" w:eastAsia="宋体"/>
          <w:b/>
          <w:sz w:val="24"/>
          <w:szCs w:val="24"/>
        </w:rPr>
      </w:pPr>
      <w:r>
        <w:rPr>
          <w:rFonts w:hint="eastAsia" w:ascii="宋体" w:hAnsi="宋体" w:cs="宋体"/>
          <w:sz w:val="24"/>
        </w:rPr>
        <w:t>联系电话：</w:t>
      </w:r>
    </w:p>
    <w:p>
      <w:pPr>
        <w:pStyle w:val="5"/>
        <w:tabs>
          <w:tab w:val="left" w:pos="6398"/>
          <w:tab w:val="left" w:pos="7118"/>
          <w:tab w:val="left" w:pos="7838"/>
        </w:tabs>
        <w:spacing w:before="0"/>
        <w:ind w:left="398"/>
        <w:outlineLvl w:val="9"/>
      </w:pPr>
    </w:p>
    <w:p>
      <w:pPr>
        <w:spacing w:before="54"/>
        <w:ind w:left="417" w:right="416"/>
        <w:jc w:val="center"/>
        <w:rPr>
          <w:sz w:val="8"/>
        </w:rPr>
      </w:pPr>
    </w:p>
    <w:sectPr>
      <w:headerReference r:id="rId11" w:type="default"/>
      <w:pgSz w:w="11910" w:h="16840"/>
      <w:pgMar w:top="1440" w:right="1800" w:bottom="1440" w:left="1800" w:header="903" w:footer="991" w:gutter="0"/>
      <w:cols w:space="720" w:num="1"/>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UEEN" w:date="2021-07-23T11:34:52Z" w:initials="">
    <w:p w14:paraId="5FC36238">
      <w:pPr>
        <w:pStyle w:val="11"/>
      </w:pPr>
      <w:r>
        <w:rPr>
          <w:rFonts w:hint="eastAsia"/>
          <w:lang w:eastAsia="zh-CN"/>
        </w:rPr>
        <w:t>与供应商须知对照，序号、内容等前后保持一致</w:t>
      </w:r>
    </w:p>
  </w:comment>
  <w:comment w:id="1" w:author="QUEEN" w:date="2021-07-23T11:34:05Z" w:initials="">
    <w:p w14:paraId="58D05802">
      <w:pPr>
        <w:pStyle w:val="11"/>
      </w:pPr>
      <w:r>
        <w:rPr>
          <w:rFonts w:hint="eastAsia"/>
          <w:lang w:eastAsia="zh-CN"/>
        </w:rPr>
        <w:t>与供应商须知里的内容不一致</w:t>
      </w:r>
    </w:p>
  </w:comment>
  <w:comment w:id="2" w:author="QUEEN" w:date="2021-07-23T12:01:33Z" w:initials="">
    <w:p w14:paraId="715A2532">
      <w:pPr>
        <w:pStyle w:val="11"/>
        <w:rPr>
          <w:rFonts w:hint="eastAsia" w:eastAsia="楷体"/>
          <w:lang w:eastAsia="zh-CN"/>
        </w:rPr>
      </w:pPr>
      <w:r>
        <w:rPr>
          <w:rFonts w:hint="eastAsia"/>
          <w:lang w:eastAsia="zh-CN"/>
        </w:rPr>
        <w:t>未在采购文件中明确</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FC36238" w15:done="0"/>
  <w15:commentEx w15:paraId="58D05802" w15:done="0"/>
  <w15:commentEx w15:paraId="715A2532"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MS Mincho">
    <w:panose1 w:val="02020609040205080304"/>
    <w:charset w:val="80"/>
    <w:family w:val="modern"/>
    <w:pitch w:val="default"/>
    <w:sig w:usb0="E00002FF" w:usb1="6AC7FDFB" w:usb2="00000012" w:usb3="00000000" w:csb0="4002009F" w:csb1="DFD70000"/>
  </w:font>
  <w:font w:name="宋体 ，Arial">
    <w:altName w:val="宋体"/>
    <w:panose1 w:val="00000000000000000000"/>
    <w:charset w:val="00"/>
    <w:family w:val="auto"/>
    <w:pitch w:val="default"/>
    <w:sig w:usb0="00000000" w:usb1="00000000" w:usb2="00000000"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59264" behindDoc="1" locked="0" layoutInCell="1" allowOverlap="1">
              <wp:simplePos x="0" y="0"/>
              <wp:positionH relativeFrom="page">
                <wp:posOffset>3726180</wp:posOffset>
              </wp:positionH>
              <wp:positionV relativeFrom="page">
                <wp:posOffset>9922510</wp:posOffset>
              </wp:positionV>
              <wp:extent cx="210820" cy="183515"/>
              <wp:effectExtent l="0" t="0" r="0" b="0"/>
              <wp:wrapNone/>
              <wp:docPr id="9" name="文本框 3"/>
              <wp:cNvGraphicFramePr/>
              <a:graphic xmlns:a="http://schemas.openxmlformats.org/drawingml/2006/main">
                <a:graphicData uri="http://schemas.microsoft.com/office/word/2010/wordprocessingShape">
                  <wps:wsp>
                    <wps:cNvSpPr txBox="1"/>
                    <wps:spPr>
                      <a:xfrm>
                        <a:off x="0" y="0"/>
                        <a:ext cx="210820" cy="183515"/>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3.4pt;margin-top:781.3pt;height:14.45pt;width:16.6pt;mso-position-horizontal-relative:page;mso-position-vertical-relative:page;z-index:-251657216;mso-width-relative:page;mso-height-relative:page;" filled="f" stroked="f" coordsize="21600,21600" o:gfxdata="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JT1sQdkAAAANAQAADwAAAAAAAAABACAAAAAiAAAAZHJzL2Rvd25yZXYueG1s&#10;UEsBAhQAFAAAAAgAh07iQIozfku+AQAAfwMAAA4AAAAAAAAAAQAgAAAAKAEAAGRycy9lMm9Eb2Mu&#10;eG1sUEsFBgAAAAAGAAYAWQEAAFg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3697605</wp:posOffset>
              </wp:positionH>
              <wp:positionV relativeFrom="page">
                <wp:posOffset>9922510</wp:posOffset>
              </wp:positionV>
              <wp:extent cx="166370" cy="152400"/>
              <wp:effectExtent l="0" t="0" r="0" b="0"/>
              <wp:wrapNone/>
              <wp:docPr id="10" name="文本框 4"/>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w:t>
                          </w:r>
                          <w:r>
                            <w:fldChar w:fldCharType="end"/>
                          </w:r>
                        </w:p>
                      </w:txbxContent>
                    </wps:txbx>
                    <wps:bodyPr lIns="0" tIns="0" rIns="0" bIns="0" upright="1"/>
                  </wps:wsp>
                </a:graphicData>
              </a:graphic>
            </wp:anchor>
          </w:drawing>
        </mc:Choice>
        <mc:Fallback>
          <w:pict>
            <v:shape id="文本框 4" o:spid="_x0000_s1026" o:spt="202" type="#_x0000_t202" style="position:absolute;left:0pt;margin-left:291.15pt;margin-top:781.3pt;height:12pt;width:13.1pt;mso-position-horizontal-relative:page;mso-position-vertical-relative:page;z-index:-251656192;mso-width-relative:page;mso-height-relative:page;" filled="f" stroked="f" coordsize="21600,21600" o:gfxdata="UEsDBAoAAAAAAIdO4kAAAAAAAAAAAAAAAAAEAAAAZHJzL1BLAwQUAAAACACHTuJAnQmrr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J0Jq63aAAAADQEAAA8AAAAAAAAAAQAgAAAAIgAAAGRycy9kb3ducmV2Lnht&#10;bFBLAQIUABQAAAAIAIdO4kCbOYcivgEAAIADAAAOAAAAAAAAAAEAIAAAACkBAABkcnMvZTJvRG9j&#10;LnhtbFBLBQYAAAAABgAGAFkBAABZBQ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23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r>
      <mc:AlternateContent>
        <mc:Choice Requires="wps">
          <w:drawing>
            <wp:anchor distT="0" distB="0" distL="114300" distR="114300" simplePos="0" relativeHeight="251661312" behindDoc="1" locked="0" layoutInCell="1" allowOverlap="1">
              <wp:simplePos x="0" y="0"/>
              <wp:positionH relativeFrom="page">
                <wp:posOffset>3697605</wp:posOffset>
              </wp:positionH>
              <wp:positionV relativeFrom="page">
                <wp:posOffset>9922510</wp:posOffset>
              </wp:positionV>
              <wp:extent cx="166370" cy="152400"/>
              <wp:effectExtent l="0" t="0" r="0" b="0"/>
              <wp:wrapNone/>
              <wp:docPr id="12" name="文本框 6"/>
              <wp:cNvGraphicFramePr/>
              <a:graphic xmlns:a="http://schemas.openxmlformats.org/drawingml/2006/main">
                <a:graphicData uri="http://schemas.microsoft.com/office/word/2010/wordprocessingShape">
                  <wps:wsp>
                    <wps:cNvSpPr txBox="1"/>
                    <wps:spPr>
                      <a:xfrm>
                        <a:off x="0" y="0"/>
                        <a:ext cx="166370" cy="152400"/>
                      </a:xfrm>
                      <a:prstGeom prst="rect">
                        <a:avLst/>
                      </a:prstGeom>
                      <a:noFill/>
                      <a:ln>
                        <a:noFill/>
                      </a:ln>
                      <a:effectLst/>
                    </wps:spPr>
                    <wps:txbx>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32</w:t>
                          </w:r>
                          <w:r>
                            <w:fldChar w:fldCharType="end"/>
                          </w:r>
                        </w:p>
                      </w:txbxContent>
                    </wps:txbx>
                    <wps:bodyPr lIns="0" tIns="0" rIns="0" bIns="0" upright="1"/>
                  </wps:wsp>
                </a:graphicData>
              </a:graphic>
            </wp:anchor>
          </w:drawing>
        </mc:Choice>
        <mc:Fallback>
          <w:pict>
            <v:shape id="文本框 6" o:spid="_x0000_s1026" o:spt="202" type="#_x0000_t202" style="position:absolute;left:0pt;margin-left:291.15pt;margin-top:781.3pt;height:12pt;width:13.1pt;mso-position-horizontal-relative:page;mso-position-vertical-relative:page;z-index:-251655168;mso-width-relative:page;mso-height-relative:page;" filled="f" stroked="f" coordsize="21600,21600" o:gfxdata="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nQmrrdoAAAANAQAADwAAAAAAAAABACAAAAAiAAAAZHJzL2Rvd25yZXYueG1s&#10;UEsBAhQAFAAAAAgAh07iQCIgl3a9AQAAgAMAAA4AAAAAAAAAAQAgAAAAKQEAAGRycy9lMm9Eb2Mu&#10;eG1sUEsFBgAAAAAGAAYAWQEAAFgFAAAAAA==&#10;">
              <v:fill on="f" focussize="0,0"/>
              <v:stroke on="f"/>
              <v:imagedata o:title=""/>
              <o:lock v:ext="edit" aspectratio="f"/>
              <v:textbox inset="0mm,0mm,0mm,0mm">
                <w:txbxContent>
                  <w:p>
                    <w:pPr>
                      <w:spacing w:before="12"/>
                      <w:ind w:left="40"/>
                      <w:rPr>
                        <w:rFonts w:ascii="Times New Roman"/>
                        <w:sz w:val="18"/>
                      </w:rPr>
                    </w:pPr>
                    <w:r>
                      <w:fldChar w:fldCharType="begin"/>
                    </w:r>
                    <w:r>
                      <w:rPr>
                        <w:rFonts w:ascii="Times New Roman"/>
                        <w:sz w:val="18"/>
                      </w:rPr>
                      <w:instrText xml:space="preserve"> PAGE </w:instrText>
                    </w:r>
                    <w:r>
                      <w:fldChar w:fldCharType="separate"/>
                    </w:r>
                    <w:r>
                      <w:rPr>
                        <w:rFonts w:ascii="Times New Roman"/>
                        <w:sz w:val="18"/>
                      </w:rPr>
                      <w:t>32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9"/>
        <w:szCs w:val="19"/>
      </w:rPr>
    </w:pPr>
    <w:r>
      <w:rPr>
        <w:lang w:eastAsia="en-US"/>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ge">
                <wp:posOffset>9871710</wp:posOffset>
              </wp:positionV>
              <wp:extent cx="178435" cy="1428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78435" cy="142875"/>
                      </a:xfrm>
                      <a:prstGeom prst="rect">
                        <a:avLst/>
                      </a:prstGeom>
                      <a:noFill/>
                      <a:ln>
                        <a:noFill/>
                      </a:ln>
                      <a:effectLst/>
                    </wps:spPr>
                    <wps:txbx>
                      <w:txbxContent>
                        <w:p>
                          <w:pPr>
                            <w:spacing w:before="11"/>
                            <w:ind w:left="40"/>
                            <w:rPr>
                              <w:rFonts w:ascii="Times New Roman"/>
                              <w:sz w:val="17"/>
                              <w:szCs w:val="17"/>
                            </w:rPr>
                          </w:pPr>
                          <w:r>
                            <w:rPr>
                              <w:rFonts w:hint="eastAsia" w:ascii="Times New Roman"/>
                              <w:sz w:val="17"/>
                              <w:szCs w:val="17"/>
                            </w:rPr>
                            <w:fldChar w:fldCharType="begin"/>
                          </w:r>
                          <w:r>
                            <w:rPr>
                              <w:rFonts w:hint="eastAsia" w:ascii="Times New Roman"/>
                              <w:sz w:val="17"/>
                              <w:szCs w:val="17"/>
                            </w:rPr>
                            <w:instrText xml:space="preserve"> PAGE  \* MERGEFORMAT </w:instrText>
                          </w:r>
                          <w:r>
                            <w:rPr>
                              <w:rFonts w:hint="eastAsia" w:ascii="Times New Roman"/>
                              <w:sz w:val="17"/>
                              <w:szCs w:val="17"/>
                            </w:rPr>
                            <w:fldChar w:fldCharType="separate"/>
                          </w:r>
                          <w:r>
                            <w:rPr>
                              <w:rFonts w:ascii="Times New Roman"/>
                              <w:sz w:val="17"/>
                              <w:szCs w:val="17"/>
                            </w:rPr>
                            <w:t>34</w:t>
                          </w:r>
                          <w:r>
                            <w:rPr>
                              <w:rFonts w:hint="eastAsia" w:ascii="Times New Roman"/>
                              <w:sz w:val="17"/>
                              <w:szCs w:val="17"/>
                            </w:rPr>
                            <w:fldChar w:fldCharType="end"/>
                          </w:r>
                        </w:p>
                      </w:txbxContent>
                    </wps:txbx>
                    <wps:bodyPr lIns="0" tIns="0" rIns="0" bIns="0" upright="1"/>
                  </wps:wsp>
                </a:graphicData>
              </a:graphic>
            </wp:anchor>
          </w:drawing>
        </mc:Choice>
        <mc:Fallback>
          <w:pict>
            <v:shape id="_x0000_s1026" o:spid="_x0000_s1026" o:spt="202" type="#_x0000_t202" style="position:absolute;left:0pt;margin-top:777.3pt;height:11.25pt;width:14.05pt;mso-position-horizontal:center;mso-position-horizontal-relative:margin;mso-position-vertical-relative:page;z-index:251662336;mso-width-relative:page;mso-height-relative:page;" filled="f" stroked="f" coordsize="21600,21600" o:gfxdata="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V/D7q2AAAAAkBAAAPAAAAAAAAAAEAIAAAACIAAABkcnMvZG93bnJldi54bWxQ&#10;SwECFAAUAAAACACHTuJA7mhL774BAAB/AwAADgAAAAAAAAABACAAAAAnAQAAZHJzL2Uyb0RvYy54&#10;bWxQSwUGAAAAAAYABgBZAQAAVwUAAAAA&#10;">
              <v:fill on="f" focussize="0,0"/>
              <v:stroke on="f"/>
              <v:imagedata o:title=""/>
              <o:lock v:ext="edit" aspectratio="f"/>
              <v:textbox inset="0mm,0mm,0mm,0mm">
                <w:txbxContent>
                  <w:p>
                    <w:pPr>
                      <w:spacing w:before="11"/>
                      <w:ind w:left="40"/>
                      <w:rPr>
                        <w:rFonts w:ascii="Times New Roman"/>
                        <w:sz w:val="17"/>
                        <w:szCs w:val="17"/>
                      </w:rPr>
                    </w:pPr>
                    <w:r>
                      <w:rPr>
                        <w:rFonts w:hint="eastAsia" w:ascii="Times New Roman"/>
                        <w:sz w:val="17"/>
                        <w:szCs w:val="17"/>
                      </w:rPr>
                      <w:fldChar w:fldCharType="begin"/>
                    </w:r>
                    <w:r>
                      <w:rPr>
                        <w:rFonts w:hint="eastAsia" w:ascii="Times New Roman"/>
                        <w:sz w:val="17"/>
                        <w:szCs w:val="17"/>
                      </w:rPr>
                      <w:instrText xml:space="preserve"> PAGE  \* MERGEFORMAT </w:instrText>
                    </w:r>
                    <w:r>
                      <w:rPr>
                        <w:rFonts w:hint="eastAsia" w:ascii="Times New Roman"/>
                        <w:sz w:val="17"/>
                        <w:szCs w:val="17"/>
                      </w:rPr>
                      <w:fldChar w:fldCharType="separate"/>
                    </w:r>
                    <w:r>
                      <w:rPr>
                        <w:rFonts w:ascii="Times New Roman"/>
                        <w:sz w:val="17"/>
                        <w:szCs w:val="17"/>
                      </w:rPr>
                      <w:t>34</w:t>
                    </w:r>
                    <w:r>
                      <w:rPr>
                        <w:rFonts w:hint="eastAsia" w:ascii="Times New Roman"/>
                        <w:sz w:val="17"/>
                        <w:szCs w:val="17"/>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en-US"/>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7"/>
                          </w:pPr>
                          <w:r>
                            <w:fldChar w:fldCharType="begin"/>
                          </w:r>
                          <w:r>
                            <w:instrText xml:space="preserve"> PAGE  \* MERGEFORMAT </w:instrText>
                          </w:r>
                          <w:r>
                            <w:fldChar w:fldCharType="separate"/>
                          </w:r>
                          <w:r>
                            <w:t>49</w:t>
                          </w:r>
                          <w:r>
                            <w:fldChar w:fldCharType="end"/>
                          </w:r>
                        </w:p>
                      </w:txbxContent>
                    </wps:txbx>
                    <wps:bodyPr wrap="none" lIns="0" tIns="0" rIns="0" bIns="0" upright="1">
                      <a:spAutoFit/>
                    </wps:bodyPr>
                  </wps:wsp>
                </a:graphicData>
              </a:graphic>
            </wp:anchor>
          </w:drawing>
        </mc:Choice>
        <mc:Fallback>
          <w:pict>
            <v:shape id="文本框 1038"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M6pebnPAAAABQEAAA8AAAAAAAAAAQAgAAAA&#10;IgAAAGRycy9kb3ducmV2LnhtbFBLAQIUABQAAAAIAIdO4kB5xg932wEAALMDAAAOAAAAAAAAAAEA&#10;IAAAAB4BAABkcnMvZTJvRG9jLnhtbFBLBQYAAAAABgAGAFkBAABrBQAAAAA=&#10;">
              <v:fill on="f" focussize="0,0"/>
              <v:stroke on="f"/>
              <v:imagedata o:title=""/>
              <o:lock v:ext="edit" aspectratio="f"/>
              <v:textbox inset="0mm,0mm,0mm,0mm" style="mso-fit-shape-to-text:t;">
                <w:txbxContent>
                  <w:p>
                    <w:pPr>
                      <w:pStyle w:val="17"/>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BB071C"/>
    <w:multiLevelType w:val="singleLevel"/>
    <w:tmpl w:val="80BB071C"/>
    <w:lvl w:ilvl="0" w:tentative="0">
      <w:start w:val="1"/>
      <w:numFmt w:val="chineseCounting"/>
      <w:suff w:val="nothing"/>
      <w:lvlText w:val="%1、"/>
      <w:lvlJc w:val="left"/>
      <w:rPr>
        <w:rFonts w:hint="eastAsia"/>
      </w:rPr>
    </w:lvl>
  </w:abstractNum>
  <w:abstractNum w:abstractNumId="1">
    <w:nsid w:val="FCFF7934"/>
    <w:multiLevelType w:val="singleLevel"/>
    <w:tmpl w:val="FCFF7934"/>
    <w:lvl w:ilvl="0" w:tentative="0">
      <w:start w:val="8"/>
      <w:numFmt w:val="chineseCounting"/>
      <w:suff w:val="nothing"/>
      <w:lvlText w:val="%1、"/>
      <w:lvlJc w:val="left"/>
      <w:rPr>
        <w:rFonts w:hint="eastAsia"/>
      </w:rPr>
    </w:lvl>
  </w:abstractNum>
  <w:abstractNum w:abstractNumId="2">
    <w:nsid w:val="0E2B36DF"/>
    <w:multiLevelType w:val="singleLevel"/>
    <w:tmpl w:val="0E2B36DF"/>
    <w:lvl w:ilvl="0" w:tentative="0">
      <w:start w:val="1"/>
      <w:numFmt w:val="decimal"/>
      <w:suff w:val="nothing"/>
      <w:lvlText w:val="%1．"/>
      <w:lvlJc w:val="left"/>
      <w:pPr>
        <w:ind w:left="40" w:firstLine="400"/>
      </w:pPr>
      <w:rPr>
        <w:rFonts w:hint="default"/>
      </w:rPr>
    </w:lvl>
  </w:abstractNum>
  <w:abstractNum w:abstractNumId="3">
    <w:nsid w:val="0F26A25E"/>
    <w:multiLevelType w:val="singleLevel"/>
    <w:tmpl w:val="0F26A25E"/>
    <w:lvl w:ilvl="0" w:tentative="0">
      <w:start w:val="1"/>
      <w:numFmt w:val="decimal"/>
      <w:suff w:val="nothing"/>
      <w:lvlText w:val="%1．"/>
      <w:lvlJc w:val="left"/>
      <w:pPr>
        <w:ind w:left="0" w:firstLine="400"/>
      </w:pPr>
      <w:rPr>
        <w:rFonts w:hint="default"/>
      </w:rPr>
    </w:lvl>
  </w:abstractNum>
  <w:abstractNum w:abstractNumId="4">
    <w:nsid w:val="45E98095"/>
    <w:multiLevelType w:val="singleLevel"/>
    <w:tmpl w:val="45E98095"/>
    <w:lvl w:ilvl="0" w:tentative="0">
      <w:start w:val="1"/>
      <w:numFmt w:val="decimal"/>
      <w:suff w:val="nothing"/>
      <w:lvlText w:val="%1．"/>
      <w:lvlJc w:val="left"/>
      <w:pPr>
        <w:ind w:left="0" w:firstLine="400"/>
      </w:pPr>
      <w:rPr>
        <w:rFonts w:hint="default"/>
      </w:rPr>
    </w:lvl>
  </w:abstractNum>
  <w:abstractNum w:abstractNumId="5">
    <w:nsid w:val="4C146531"/>
    <w:multiLevelType w:val="singleLevel"/>
    <w:tmpl w:val="4C146531"/>
    <w:lvl w:ilvl="0" w:tentative="0">
      <w:start w:val="2"/>
      <w:numFmt w:val="chineseCounting"/>
      <w:suff w:val="nothing"/>
      <w:lvlText w:val="%1、"/>
      <w:lvlJc w:val="left"/>
      <w:rPr>
        <w:rFonts w:hint="eastAsia"/>
      </w:rPr>
    </w:lvl>
  </w:abstractNum>
  <w:abstractNum w:abstractNumId="6">
    <w:nsid w:val="7C330788"/>
    <w:multiLevelType w:val="singleLevel"/>
    <w:tmpl w:val="7C330788"/>
    <w:lvl w:ilvl="0" w:tentative="0">
      <w:start w:val="1"/>
      <w:numFmt w:val="decimal"/>
      <w:suff w:val="space"/>
      <w:lvlText w:val="%1."/>
      <w:lvlJc w:val="left"/>
    </w:lvl>
  </w:abstractNum>
  <w:num w:numId="1">
    <w:abstractNumId w:val="3"/>
  </w:num>
  <w:num w:numId="2">
    <w:abstractNumId w:val="2"/>
  </w:num>
  <w:num w:numId="3">
    <w:abstractNumId w:val="1"/>
  </w:num>
  <w:num w:numId="4">
    <w:abstractNumId w:val="4"/>
  </w:num>
  <w:num w:numId="5">
    <w:abstractNumId w:val="0"/>
  </w:num>
  <w:num w:numId="6">
    <w:abstractNumId w:val="5"/>
  </w:num>
  <w:num w:numId="7">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UEEN">
    <w15:presenceInfo w15:providerId="WPS Office" w15:userId="32980239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365"/>
    <w:rsid w:val="00005C73"/>
    <w:rsid w:val="000C2A32"/>
    <w:rsid w:val="000E1640"/>
    <w:rsid w:val="000F4479"/>
    <w:rsid w:val="00215C27"/>
    <w:rsid w:val="00215C6D"/>
    <w:rsid w:val="002B2B53"/>
    <w:rsid w:val="002D7B12"/>
    <w:rsid w:val="0042379D"/>
    <w:rsid w:val="004F2365"/>
    <w:rsid w:val="005B3ED9"/>
    <w:rsid w:val="005F7D4C"/>
    <w:rsid w:val="00822B2D"/>
    <w:rsid w:val="0085272D"/>
    <w:rsid w:val="009C094F"/>
    <w:rsid w:val="00A625E6"/>
    <w:rsid w:val="00C05200"/>
    <w:rsid w:val="00C259BC"/>
    <w:rsid w:val="00D407AE"/>
    <w:rsid w:val="00E36980"/>
    <w:rsid w:val="00EB5BDB"/>
    <w:rsid w:val="00EE53AD"/>
    <w:rsid w:val="00F10FE8"/>
    <w:rsid w:val="00F51750"/>
    <w:rsid w:val="01E5190C"/>
    <w:rsid w:val="022C6E2C"/>
    <w:rsid w:val="02F67698"/>
    <w:rsid w:val="03AB519A"/>
    <w:rsid w:val="03CE6ECB"/>
    <w:rsid w:val="047153C4"/>
    <w:rsid w:val="04FD6F89"/>
    <w:rsid w:val="058E6FB8"/>
    <w:rsid w:val="06025032"/>
    <w:rsid w:val="08CC4A07"/>
    <w:rsid w:val="0920094B"/>
    <w:rsid w:val="0A7E683B"/>
    <w:rsid w:val="0B022448"/>
    <w:rsid w:val="0B55125F"/>
    <w:rsid w:val="0C1F6CC0"/>
    <w:rsid w:val="0D81200D"/>
    <w:rsid w:val="0D9A4B33"/>
    <w:rsid w:val="0DAB1C9A"/>
    <w:rsid w:val="0DE35F61"/>
    <w:rsid w:val="0E8443B2"/>
    <w:rsid w:val="0F2F325D"/>
    <w:rsid w:val="0F80070A"/>
    <w:rsid w:val="103D3A7A"/>
    <w:rsid w:val="11604777"/>
    <w:rsid w:val="11FB2445"/>
    <w:rsid w:val="13254295"/>
    <w:rsid w:val="141C3A4B"/>
    <w:rsid w:val="14B804E6"/>
    <w:rsid w:val="15326018"/>
    <w:rsid w:val="153F74D5"/>
    <w:rsid w:val="16135818"/>
    <w:rsid w:val="16F06824"/>
    <w:rsid w:val="173E72E1"/>
    <w:rsid w:val="174C414A"/>
    <w:rsid w:val="17654134"/>
    <w:rsid w:val="17D557D4"/>
    <w:rsid w:val="18DA009C"/>
    <w:rsid w:val="194146C3"/>
    <w:rsid w:val="19F20A39"/>
    <w:rsid w:val="1B215B0E"/>
    <w:rsid w:val="1B3A2238"/>
    <w:rsid w:val="1B656185"/>
    <w:rsid w:val="1C1B6857"/>
    <w:rsid w:val="1DBB553B"/>
    <w:rsid w:val="1F65307F"/>
    <w:rsid w:val="1FB955BB"/>
    <w:rsid w:val="20E1544A"/>
    <w:rsid w:val="21834BD5"/>
    <w:rsid w:val="219E381E"/>
    <w:rsid w:val="21B03289"/>
    <w:rsid w:val="22A42B24"/>
    <w:rsid w:val="230F44E7"/>
    <w:rsid w:val="232E187D"/>
    <w:rsid w:val="23AC0E7D"/>
    <w:rsid w:val="24196FDA"/>
    <w:rsid w:val="25020F2E"/>
    <w:rsid w:val="25881637"/>
    <w:rsid w:val="27AE6037"/>
    <w:rsid w:val="27D009B9"/>
    <w:rsid w:val="27E87C76"/>
    <w:rsid w:val="27FB1831"/>
    <w:rsid w:val="28A80D2D"/>
    <w:rsid w:val="2A0A4C17"/>
    <w:rsid w:val="2B04330E"/>
    <w:rsid w:val="2B274F0F"/>
    <w:rsid w:val="2B313B02"/>
    <w:rsid w:val="2B4E3AB3"/>
    <w:rsid w:val="2C2C0967"/>
    <w:rsid w:val="2CE621BA"/>
    <w:rsid w:val="2D5B7EFE"/>
    <w:rsid w:val="2D696221"/>
    <w:rsid w:val="2E597CDC"/>
    <w:rsid w:val="2E6C3EE6"/>
    <w:rsid w:val="32A41560"/>
    <w:rsid w:val="3392236A"/>
    <w:rsid w:val="345157F6"/>
    <w:rsid w:val="34D52B94"/>
    <w:rsid w:val="362A1D6C"/>
    <w:rsid w:val="36797A01"/>
    <w:rsid w:val="383D77C6"/>
    <w:rsid w:val="383F63EC"/>
    <w:rsid w:val="38882AA3"/>
    <w:rsid w:val="3ABE7E73"/>
    <w:rsid w:val="3B0F4FC1"/>
    <w:rsid w:val="3B4674CF"/>
    <w:rsid w:val="3B5F0678"/>
    <w:rsid w:val="3C785032"/>
    <w:rsid w:val="3DA02860"/>
    <w:rsid w:val="3DBB4595"/>
    <w:rsid w:val="3DFE0019"/>
    <w:rsid w:val="3F142CCE"/>
    <w:rsid w:val="3F145B8D"/>
    <w:rsid w:val="3FA72B18"/>
    <w:rsid w:val="41E80972"/>
    <w:rsid w:val="4250687D"/>
    <w:rsid w:val="42B74E84"/>
    <w:rsid w:val="430245BC"/>
    <w:rsid w:val="434052B0"/>
    <w:rsid w:val="43B06F0F"/>
    <w:rsid w:val="44415FCC"/>
    <w:rsid w:val="46031B27"/>
    <w:rsid w:val="47B47501"/>
    <w:rsid w:val="487654AD"/>
    <w:rsid w:val="490E04D6"/>
    <w:rsid w:val="49C852D1"/>
    <w:rsid w:val="4B1924DD"/>
    <w:rsid w:val="4C0403A5"/>
    <w:rsid w:val="4C5B7C20"/>
    <w:rsid w:val="4CC22466"/>
    <w:rsid w:val="4D1069E3"/>
    <w:rsid w:val="4DB42AB7"/>
    <w:rsid w:val="4E615B9D"/>
    <w:rsid w:val="4F575717"/>
    <w:rsid w:val="4FB165FC"/>
    <w:rsid w:val="4FB4304E"/>
    <w:rsid w:val="50AC445F"/>
    <w:rsid w:val="51DF2FC3"/>
    <w:rsid w:val="5336012B"/>
    <w:rsid w:val="533C2512"/>
    <w:rsid w:val="534C47C5"/>
    <w:rsid w:val="53FF739D"/>
    <w:rsid w:val="54F03D14"/>
    <w:rsid w:val="555834A4"/>
    <w:rsid w:val="563362C7"/>
    <w:rsid w:val="56A511D3"/>
    <w:rsid w:val="578D024D"/>
    <w:rsid w:val="57AE56FC"/>
    <w:rsid w:val="57D115BB"/>
    <w:rsid w:val="57D4786E"/>
    <w:rsid w:val="5B3D489C"/>
    <w:rsid w:val="5D5706AD"/>
    <w:rsid w:val="5D5F108B"/>
    <w:rsid w:val="5D62290A"/>
    <w:rsid w:val="5E121A75"/>
    <w:rsid w:val="5F7F6201"/>
    <w:rsid w:val="5FDE6D10"/>
    <w:rsid w:val="61854DA7"/>
    <w:rsid w:val="61F24CF2"/>
    <w:rsid w:val="625E6894"/>
    <w:rsid w:val="6280321A"/>
    <w:rsid w:val="6370151E"/>
    <w:rsid w:val="643E360E"/>
    <w:rsid w:val="67582D85"/>
    <w:rsid w:val="67785A08"/>
    <w:rsid w:val="68372C0E"/>
    <w:rsid w:val="6943223D"/>
    <w:rsid w:val="69744A7F"/>
    <w:rsid w:val="69DF0731"/>
    <w:rsid w:val="69E865A7"/>
    <w:rsid w:val="6AF21C3E"/>
    <w:rsid w:val="6C124C78"/>
    <w:rsid w:val="6C1D4021"/>
    <w:rsid w:val="6D490844"/>
    <w:rsid w:val="6D9471A8"/>
    <w:rsid w:val="6E30260C"/>
    <w:rsid w:val="6E8D1925"/>
    <w:rsid w:val="6E9830B2"/>
    <w:rsid w:val="6ED208FD"/>
    <w:rsid w:val="72277F45"/>
    <w:rsid w:val="72B92955"/>
    <w:rsid w:val="737F464C"/>
    <w:rsid w:val="744A1AC9"/>
    <w:rsid w:val="74B109BD"/>
    <w:rsid w:val="74CE3ADA"/>
    <w:rsid w:val="74D2604B"/>
    <w:rsid w:val="74E24462"/>
    <w:rsid w:val="75154D35"/>
    <w:rsid w:val="769A23E2"/>
    <w:rsid w:val="7824123C"/>
    <w:rsid w:val="783B0CE2"/>
    <w:rsid w:val="78637E07"/>
    <w:rsid w:val="78A671ED"/>
    <w:rsid w:val="7996008D"/>
    <w:rsid w:val="7A311D2E"/>
    <w:rsid w:val="7AC31D5C"/>
    <w:rsid w:val="7B0D66B4"/>
    <w:rsid w:val="7B5F7D43"/>
    <w:rsid w:val="7BEB0118"/>
    <w:rsid w:val="7C6366A7"/>
    <w:rsid w:val="7D401BB8"/>
    <w:rsid w:val="7DB37571"/>
    <w:rsid w:val="7DEE4308"/>
    <w:rsid w:val="7E404BB7"/>
    <w:rsid w:val="7F705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nhideWhenUsed="0" w:uiPriority="1"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楷体" w:hAnsi="楷体" w:eastAsia="楷体" w:cs="楷体"/>
      <w:sz w:val="22"/>
      <w:szCs w:val="22"/>
      <w:lang w:val="zh-CN" w:eastAsia="zh-CN" w:bidi="zh-CN"/>
    </w:rPr>
  </w:style>
  <w:style w:type="paragraph" w:styleId="3">
    <w:name w:val="heading 1"/>
    <w:basedOn w:val="1"/>
    <w:next w:val="1"/>
    <w:qFormat/>
    <w:uiPriority w:val="1"/>
    <w:pPr>
      <w:ind w:right="414"/>
      <w:jc w:val="center"/>
      <w:outlineLvl w:val="0"/>
    </w:pPr>
    <w:rPr>
      <w:b/>
      <w:bCs/>
      <w:sz w:val="28"/>
      <w:szCs w:val="28"/>
    </w:rPr>
  </w:style>
  <w:style w:type="paragraph" w:styleId="4">
    <w:name w:val="heading 2"/>
    <w:basedOn w:val="1"/>
    <w:next w:val="1"/>
    <w:qFormat/>
    <w:uiPriority w:val="1"/>
    <w:pPr>
      <w:ind w:left="880" w:hanging="486"/>
      <w:outlineLvl w:val="1"/>
    </w:pPr>
    <w:rPr>
      <w:b/>
      <w:bCs/>
      <w:sz w:val="24"/>
      <w:szCs w:val="24"/>
    </w:rPr>
  </w:style>
  <w:style w:type="paragraph" w:styleId="5">
    <w:name w:val="heading 3"/>
    <w:basedOn w:val="1"/>
    <w:next w:val="1"/>
    <w:qFormat/>
    <w:uiPriority w:val="1"/>
    <w:pPr>
      <w:spacing w:before="161"/>
      <w:ind w:left="876"/>
      <w:outlineLvl w:val="2"/>
    </w:pPr>
    <w:rPr>
      <w:sz w:val="24"/>
      <w:szCs w:val="24"/>
    </w:rPr>
  </w:style>
  <w:style w:type="paragraph" w:styleId="6">
    <w:name w:val="heading 4"/>
    <w:basedOn w:val="1"/>
    <w:next w:val="1"/>
    <w:qFormat/>
    <w:uiPriority w:val="1"/>
    <w:pPr>
      <w:ind w:left="729" w:hanging="335"/>
      <w:outlineLvl w:val="3"/>
    </w:pPr>
    <w:rPr>
      <w:b/>
      <w:bCs/>
    </w:rPr>
  </w:style>
  <w:style w:type="paragraph" w:styleId="7">
    <w:name w:val="heading 7"/>
    <w:basedOn w:val="1"/>
    <w:next w:val="1"/>
    <w:qFormat/>
    <w:uiPriority w:val="1"/>
    <w:pPr>
      <w:spacing w:before="2"/>
      <w:ind w:left="471"/>
      <w:outlineLvl w:val="6"/>
    </w:pPr>
    <w:rPr>
      <w:sz w:val="24"/>
      <w:szCs w:val="24"/>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customStyle="1" w:styleId="2">
    <w:name w:val="Default"/>
    <w:next w:val="1"/>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8">
    <w:name w:val="List 3"/>
    <w:basedOn w:val="1"/>
    <w:qFormat/>
    <w:uiPriority w:val="0"/>
    <w:pPr>
      <w:autoSpaceDE/>
      <w:autoSpaceDN/>
      <w:ind w:left="600" w:leftChars="400" w:hanging="200" w:hangingChars="200"/>
      <w:jc w:val="both"/>
    </w:pPr>
    <w:rPr>
      <w:rFonts w:ascii="仿宋_GB2312" w:hAnsi="Times New Roman" w:eastAsia="仿宋_GB2312" w:cs="Times New Roman"/>
      <w:kern w:val="2"/>
      <w:sz w:val="32"/>
      <w:szCs w:val="24"/>
      <w:lang w:val="en-US" w:bidi="ar-SA"/>
    </w:rPr>
  </w:style>
  <w:style w:type="paragraph" w:styleId="9">
    <w:name w:val="Normal Indent"/>
    <w:basedOn w:val="1"/>
    <w:link w:val="46"/>
    <w:qFormat/>
    <w:uiPriority w:val="0"/>
    <w:pPr>
      <w:autoSpaceDE/>
      <w:autoSpaceDN/>
      <w:ind w:firstLine="420"/>
      <w:jc w:val="both"/>
    </w:pPr>
    <w:rPr>
      <w:rFonts w:ascii="Times New Roman" w:hAnsi="Times New Roman" w:eastAsia="仿宋_GB2312" w:cs="Times New Roman"/>
      <w:kern w:val="2"/>
      <w:sz w:val="30"/>
      <w:szCs w:val="30"/>
      <w:lang w:bidi="ar-SA"/>
    </w:rPr>
  </w:style>
  <w:style w:type="paragraph" w:styleId="10">
    <w:name w:val="caption"/>
    <w:basedOn w:val="1"/>
    <w:next w:val="1"/>
    <w:qFormat/>
    <w:uiPriority w:val="0"/>
    <w:pPr>
      <w:autoSpaceDE/>
      <w:autoSpaceDN/>
      <w:spacing w:before="152" w:after="160"/>
      <w:jc w:val="both"/>
    </w:pPr>
    <w:rPr>
      <w:rFonts w:ascii="Arial" w:hAnsi="Arial" w:eastAsia="黑体" w:cs="Times New Roman"/>
      <w:kern w:val="2"/>
      <w:sz w:val="32"/>
      <w:szCs w:val="32"/>
      <w:lang w:val="en-US" w:bidi="ar-SA"/>
    </w:rPr>
  </w:style>
  <w:style w:type="paragraph" w:styleId="11">
    <w:name w:val="annotation text"/>
    <w:basedOn w:val="1"/>
    <w:qFormat/>
    <w:uiPriority w:val="0"/>
  </w:style>
  <w:style w:type="paragraph" w:styleId="12">
    <w:name w:val="Body Text"/>
    <w:basedOn w:val="1"/>
    <w:next w:val="13"/>
    <w:qFormat/>
    <w:uiPriority w:val="1"/>
  </w:style>
  <w:style w:type="paragraph" w:styleId="13">
    <w:name w:val="Body Text 2"/>
    <w:basedOn w:val="1"/>
    <w:qFormat/>
    <w:uiPriority w:val="0"/>
    <w:rPr>
      <w:sz w:val="20"/>
    </w:rPr>
  </w:style>
  <w:style w:type="paragraph" w:styleId="14">
    <w:name w:val="Body Text Indent"/>
    <w:basedOn w:val="1"/>
    <w:next w:val="15"/>
    <w:qFormat/>
    <w:uiPriority w:val="0"/>
    <w:pPr>
      <w:spacing w:line="400" w:lineRule="exact"/>
      <w:ind w:left="630"/>
    </w:pPr>
    <w:rPr>
      <w:rFonts w:ascii="楷体_GB2312"/>
      <w:sz w:val="30"/>
      <w:szCs w:val="30"/>
    </w:rPr>
  </w:style>
  <w:style w:type="paragraph" w:styleId="15">
    <w:name w:val="envelope return"/>
    <w:basedOn w:val="1"/>
    <w:qFormat/>
    <w:uiPriority w:val="0"/>
    <w:pPr>
      <w:snapToGrid w:val="0"/>
    </w:pPr>
    <w:rPr>
      <w:rFonts w:ascii="Arial" w:hAnsi="Arial"/>
    </w:rPr>
  </w:style>
  <w:style w:type="paragraph" w:styleId="16">
    <w:name w:val="Balloon Text"/>
    <w:basedOn w:val="1"/>
    <w:link w:val="44"/>
    <w:qFormat/>
    <w:uiPriority w:val="0"/>
    <w:rPr>
      <w:sz w:val="18"/>
      <w:szCs w:val="18"/>
    </w:rPr>
  </w:style>
  <w:style w:type="paragraph" w:styleId="17">
    <w:name w:val="footer"/>
    <w:basedOn w:val="1"/>
    <w:link w:val="45"/>
    <w:qFormat/>
    <w:uiPriority w:val="99"/>
    <w:pPr>
      <w:tabs>
        <w:tab w:val="center" w:pos="4153"/>
        <w:tab w:val="right" w:pos="8306"/>
      </w:tabs>
      <w:snapToGrid w:val="0"/>
    </w:pPr>
    <w:rPr>
      <w:sz w:val="18"/>
    </w:rPr>
  </w:style>
  <w:style w:type="paragraph" w:styleId="1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9">
    <w:name w:val="toc 1"/>
    <w:basedOn w:val="1"/>
    <w:next w:val="1"/>
    <w:qFormat/>
    <w:uiPriority w:val="1"/>
    <w:pPr>
      <w:spacing w:before="317"/>
      <w:ind w:left="395"/>
    </w:pPr>
    <w:rPr>
      <w:sz w:val="24"/>
      <w:szCs w:val="24"/>
    </w:rPr>
  </w:style>
  <w:style w:type="paragraph" w:styleId="20">
    <w:name w:val="Body Text First Indent 2"/>
    <w:basedOn w:val="14"/>
    <w:qFormat/>
    <w:uiPriority w:val="0"/>
    <w:pPr>
      <w:spacing w:line="240" w:lineRule="auto"/>
      <w:ind w:left="200" w:leftChars="200" w:firstLine="200" w:firstLineChars="200"/>
    </w:pPr>
  </w:style>
  <w:style w:type="character" w:styleId="23">
    <w:name w:val="Strong"/>
    <w:basedOn w:val="22"/>
    <w:qFormat/>
    <w:uiPriority w:val="0"/>
  </w:style>
  <w:style w:type="character" w:styleId="24">
    <w:name w:val="FollowedHyperlink"/>
    <w:basedOn w:val="22"/>
    <w:uiPriority w:val="0"/>
    <w:rPr>
      <w:color w:val="800080"/>
      <w:u w:val="none"/>
    </w:rPr>
  </w:style>
  <w:style w:type="character" w:styleId="25">
    <w:name w:val="Emphasis"/>
    <w:basedOn w:val="22"/>
    <w:qFormat/>
    <w:uiPriority w:val="0"/>
  </w:style>
  <w:style w:type="character" w:styleId="26">
    <w:name w:val="HTML Definition"/>
    <w:basedOn w:val="22"/>
    <w:uiPriority w:val="0"/>
  </w:style>
  <w:style w:type="character" w:styleId="27">
    <w:name w:val="HTML Typewriter"/>
    <w:basedOn w:val="22"/>
    <w:uiPriority w:val="0"/>
    <w:rPr>
      <w:rFonts w:hint="default" w:ascii="monospace" w:hAnsi="monospace" w:eastAsia="monospace" w:cs="monospace"/>
      <w:sz w:val="20"/>
    </w:rPr>
  </w:style>
  <w:style w:type="character" w:styleId="28">
    <w:name w:val="HTML Acronym"/>
    <w:basedOn w:val="22"/>
    <w:uiPriority w:val="0"/>
    <w:rPr>
      <w:bdr w:val="none" w:color="auto" w:sz="0" w:space="0"/>
    </w:rPr>
  </w:style>
  <w:style w:type="character" w:styleId="29">
    <w:name w:val="HTML Variable"/>
    <w:basedOn w:val="22"/>
    <w:uiPriority w:val="0"/>
  </w:style>
  <w:style w:type="character" w:styleId="30">
    <w:name w:val="Hyperlink"/>
    <w:basedOn w:val="22"/>
    <w:qFormat/>
    <w:uiPriority w:val="0"/>
    <w:rPr>
      <w:color w:val="0000FF" w:themeColor="hyperlink"/>
      <w:u w:val="single"/>
      <w14:textFill>
        <w14:solidFill>
          <w14:schemeClr w14:val="hlink"/>
        </w14:solidFill>
      </w14:textFill>
    </w:rPr>
  </w:style>
  <w:style w:type="character" w:styleId="31">
    <w:name w:val="HTML Code"/>
    <w:basedOn w:val="22"/>
    <w:uiPriority w:val="0"/>
    <w:rPr>
      <w:rFonts w:hint="default" w:ascii="monospace" w:hAnsi="monospace" w:eastAsia="monospace" w:cs="monospace"/>
      <w:sz w:val="20"/>
      <w:bdr w:val="none" w:color="auto" w:sz="0" w:space="0"/>
    </w:rPr>
  </w:style>
  <w:style w:type="character" w:styleId="32">
    <w:name w:val="HTML Cite"/>
    <w:basedOn w:val="22"/>
    <w:uiPriority w:val="0"/>
  </w:style>
  <w:style w:type="character" w:styleId="33">
    <w:name w:val="HTML Keyboard"/>
    <w:basedOn w:val="22"/>
    <w:uiPriority w:val="0"/>
    <w:rPr>
      <w:rFonts w:ascii="monospace" w:hAnsi="monospace" w:eastAsia="monospace" w:cs="monospace"/>
      <w:sz w:val="20"/>
    </w:rPr>
  </w:style>
  <w:style w:type="character" w:styleId="34">
    <w:name w:val="HTML Sample"/>
    <w:basedOn w:val="22"/>
    <w:uiPriority w:val="0"/>
    <w:rPr>
      <w:rFonts w:hint="default" w:ascii="monospace" w:hAnsi="monospace" w:eastAsia="monospace" w:cs="monospace"/>
    </w:rPr>
  </w:style>
  <w:style w:type="paragraph" w:customStyle="1" w:styleId="35">
    <w:name w:val="样式1"/>
    <w:basedOn w:val="36"/>
    <w:qFormat/>
    <w:uiPriority w:val="0"/>
  </w:style>
  <w:style w:type="paragraph" w:customStyle="1" w:styleId="36">
    <w:name w:val="Table Paragraph"/>
    <w:basedOn w:val="1"/>
    <w:qFormat/>
    <w:uiPriority w:val="1"/>
  </w:style>
  <w:style w:type="table" w:customStyle="1" w:styleId="37">
    <w:name w:val="Table Normal"/>
    <w:semiHidden/>
    <w:unhideWhenUsed/>
    <w:qFormat/>
    <w:uiPriority w:val="2"/>
    <w:tblPr>
      <w:tblCellMar>
        <w:top w:w="0" w:type="dxa"/>
        <w:left w:w="0" w:type="dxa"/>
        <w:bottom w:w="0" w:type="dxa"/>
        <w:right w:w="0" w:type="dxa"/>
      </w:tblCellMar>
    </w:tblPr>
  </w:style>
  <w:style w:type="paragraph" w:styleId="38">
    <w:name w:val="List Paragraph"/>
    <w:basedOn w:val="1"/>
    <w:qFormat/>
    <w:uiPriority w:val="1"/>
    <w:pPr>
      <w:ind w:left="395" w:firstLine="441"/>
    </w:pPr>
  </w:style>
  <w:style w:type="paragraph" w:customStyle="1" w:styleId="39">
    <w:name w:val="*正文_1"/>
    <w:basedOn w:val="40"/>
    <w:next w:val="40"/>
    <w:qFormat/>
    <w:uiPriority w:val="0"/>
    <w:pPr>
      <w:widowControl/>
      <w:ind w:firstLine="482"/>
    </w:pPr>
    <w:rPr>
      <w:rFonts w:ascii="微软雅黑" w:hAnsi="微软雅黑" w:eastAsia="微软雅黑"/>
      <w:kern w:val="0"/>
      <w:szCs w:val="20"/>
    </w:rPr>
  </w:style>
  <w:style w:type="paragraph" w:customStyle="1" w:styleId="40">
    <w:name w:val="正文_1"/>
    <w:next w:val="41"/>
    <w:qFormat/>
    <w:uiPriority w:val="0"/>
    <w:pPr>
      <w:widowControl w:val="0"/>
      <w:jc w:val="both"/>
    </w:pPr>
    <w:rPr>
      <w:rFonts w:ascii="Calibri" w:hAnsi="Calibri" w:eastAsia="宋体" w:cs="Times New Roman"/>
      <w:kern w:val="2"/>
      <w:sz w:val="21"/>
      <w:szCs w:val="22"/>
      <w:lang w:val="en-US" w:eastAsia="zh-CN" w:bidi="ar-SA"/>
    </w:rPr>
  </w:style>
  <w:style w:type="paragraph" w:customStyle="1" w:styleId="41">
    <w:name w:val="正文文本_1"/>
    <w:basedOn w:val="40"/>
    <w:next w:val="42"/>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42">
    <w:name w:val="Default_2"/>
    <w:next w:val="4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43">
    <w:name w:val="正文_1_2"/>
    <w:next w:val="41"/>
    <w:qFormat/>
    <w:uiPriority w:val="0"/>
    <w:pPr>
      <w:widowControl w:val="0"/>
      <w:jc w:val="both"/>
    </w:pPr>
    <w:rPr>
      <w:rFonts w:ascii="Times New Roman" w:hAnsi="Times New Roman" w:eastAsia="宋体" w:cs="Times New Roman"/>
      <w:lang w:val="en-US" w:eastAsia="zh-CN" w:bidi="ar-SA"/>
    </w:rPr>
  </w:style>
  <w:style w:type="character" w:customStyle="1" w:styleId="44">
    <w:name w:val="批注框文本 Char"/>
    <w:basedOn w:val="22"/>
    <w:link w:val="16"/>
    <w:qFormat/>
    <w:uiPriority w:val="0"/>
    <w:rPr>
      <w:rFonts w:ascii="楷体" w:hAnsi="楷体" w:eastAsia="楷体" w:cs="楷体"/>
      <w:sz w:val="18"/>
      <w:szCs w:val="18"/>
      <w:lang w:val="zh-CN" w:bidi="zh-CN"/>
    </w:rPr>
  </w:style>
  <w:style w:type="character" w:customStyle="1" w:styleId="45">
    <w:name w:val="页脚 Char"/>
    <w:link w:val="17"/>
    <w:qFormat/>
    <w:uiPriority w:val="99"/>
    <w:rPr>
      <w:rFonts w:ascii="楷体" w:hAnsi="楷体" w:eastAsia="楷体" w:cs="楷体"/>
      <w:sz w:val="18"/>
      <w:szCs w:val="22"/>
      <w:lang w:val="zh-CN" w:bidi="zh-CN"/>
    </w:rPr>
  </w:style>
  <w:style w:type="character" w:customStyle="1" w:styleId="46">
    <w:name w:val="正文缩进 Char"/>
    <w:link w:val="9"/>
    <w:qFormat/>
    <w:uiPriority w:val="0"/>
    <w:rPr>
      <w:rFonts w:eastAsia="仿宋_GB2312"/>
      <w:kern w:val="2"/>
      <w:sz w:val="30"/>
      <w:szCs w:val="30"/>
    </w:rPr>
  </w:style>
  <w:style w:type="paragraph" w:customStyle="1" w:styleId="47">
    <w:name w:val="WPSOffice手动目录 1"/>
    <w:qFormat/>
    <w:uiPriority w:val="0"/>
    <w:pPr>
      <w:ind w:leftChars="0"/>
    </w:pPr>
    <w:rPr>
      <w:rFonts w:ascii="Times New Roman" w:hAnsi="Times New Roman" w:eastAsia="宋体" w:cs="Times New Roman"/>
      <w:sz w:val="20"/>
      <w:szCs w:val="20"/>
    </w:rPr>
  </w:style>
  <w:style w:type="paragraph" w:customStyle="1" w:styleId="48">
    <w:name w:val="*正文_2"/>
    <w:basedOn w:val="49"/>
    <w:next w:val="49"/>
    <w:qFormat/>
    <w:uiPriority w:val="0"/>
    <w:pPr>
      <w:widowControl/>
      <w:ind w:firstLine="482"/>
    </w:pPr>
    <w:rPr>
      <w:rFonts w:ascii="微软雅黑" w:hAnsi="微软雅黑" w:eastAsia="微软雅黑"/>
      <w:kern w:val="0"/>
      <w:szCs w:val="20"/>
    </w:rPr>
  </w:style>
  <w:style w:type="paragraph" w:customStyle="1" w:styleId="49">
    <w:name w:val="正文_3"/>
    <w:next w:val="5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0">
    <w:name w:val="Default_1"/>
    <w:next w:val="51"/>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1">
    <w:name w:val="正文_1_0"/>
    <w:next w:val="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正文文本_1_0"/>
    <w:basedOn w:val="51"/>
    <w:next w:val="53"/>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53">
    <w:name w:val="Default_2_0"/>
    <w:next w:val="54"/>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4">
    <w:name w:val="正文_1_2_0"/>
    <w:next w:val="52"/>
    <w:qFormat/>
    <w:uiPriority w:val="0"/>
    <w:pPr>
      <w:widowControl w:val="0"/>
      <w:jc w:val="both"/>
    </w:pPr>
    <w:rPr>
      <w:rFonts w:ascii="Times New Roman" w:hAnsi="Times New Roman" w:eastAsia="宋体" w:cs="Times New Roman"/>
      <w:lang w:val="en-US" w:eastAsia="zh-CN" w:bidi="ar-SA"/>
    </w:rPr>
  </w:style>
  <w:style w:type="paragraph" w:customStyle="1" w:styleId="55">
    <w:name w:val="正文_6_0"/>
    <w:next w:val="5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6">
    <w:name w:val="正文文本_4"/>
    <w:basedOn w:val="55"/>
    <w:next w:val="57"/>
    <w:unhideWhenUsed/>
    <w:qFormat/>
    <w:uiPriority w:val="0"/>
    <w:pPr>
      <w:widowControl/>
      <w:adjustRightInd w:val="0"/>
      <w:spacing w:after="60" w:line="360" w:lineRule="atLeast"/>
      <w:ind w:left="72" w:leftChars="30" w:right="30" w:rightChars="30" w:firstLine="200" w:firstLineChars="200"/>
      <w:jc w:val="center"/>
    </w:pPr>
    <w:rPr>
      <w:rFonts w:ascii="Calibri" w:hAnsi="Calibri" w:eastAsia="宋体"/>
      <w:kern w:val="0"/>
      <w:sz w:val="20"/>
      <w:szCs w:val="20"/>
    </w:rPr>
  </w:style>
  <w:style w:type="paragraph" w:customStyle="1" w:styleId="57">
    <w:name w:val="Default_4"/>
    <w:next w:val="55"/>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58">
    <w:name w:val="正文_1_2_0_0"/>
    <w:next w:val="59"/>
    <w:qFormat/>
    <w:uiPriority w:val="0"/>
    <w:pPr>
      <w:widowControl w:val="0"/>
      <w:jc w:val="both"/>
    </w:pPr>
    <w:rPr>
      <w:rFonts w:ascii="Times New Roman" w:hAnsi="Times New Roman" w:eastAsia="宋体" w:cs="Times New Roman"/>
      <w:lang w:val="en-US" w:eastAsia="zh-CN" w:bidi="ar-SA"/>
    </w:rPr>
  </w:style>
  <w:style w:type="paragraph" w:customStyle="1" w:styleId="59">
    <w:name w:val="正文文本_1_1"/>
    <w:basedOn w:val="60"/>
    <w:next w:val="61"/>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60">
    <w:name w:val="正文_1_1"/>
    <w:next w:val="59"/>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
    <w:name w:val="Default_2_1"/>
    <w:next w:val="58"/>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header" Target="header2.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49</Pages>
  <Words>3917</Words>
  <Characters>22329</Characters>
  <Lines>186</Lines>
  <Paragraphs>52</Paragraphs>
  <TotalTime>26</TotalTime>
  <ScaleCrop>false</ScaleCrop>
  <LinksUpToDate>false</LinksUpToDate>
  <CharactersWithSpaces>26194</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2019-08-02T09:12:00Z</dcterms:created>
  <dc:creator>Administrator</dc:creator>
  <cp:lastModifiedBy>NTKO</cp:lastModifiedBy>
  <cp:lastPrinted>2020-07-21T02:40:00Z</cp:lastPrinted>
  <dcterms:modified xsi:type="dcterms:W3CDTF">2021-07-23T08:34:23Z</dcterms:modified>
  <dc:title>2015年配电室漏雨防水及门窗更换项目</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2019-07-23T00:00:00Z</vt:filetime>
  </property>
  <property fmtid="{D5CDD505-2E9C-101B-9397-08002B2CF9AE}" pid="3" name="Creator">
    <vt:lpwstr>WPS 文字</vt:lpwstr>
  </property>
  <property fmtid="{D5CDD505-2E9C-101B-9397-08002B2CF9AE}" pid="4" name="LastSaved">
    <vt:filetime>2019-08-02T00:00:00Z</vt:filetime>
  </property>
  <property fmtid="{D5CDD505-2E9C-101B-9397-08002B2CF9AE}" pid="5" name="KSOProductBuildVer">
    <vt:lpwstr>2052-11.1.0.10503</vt:lpwstr>
  </property>
  <property fmtid="{D5CDD505-2E9C-101B-9397-08002B2CF9AE}" pid="6" name="ICV">
    <vt:lpwstr>0E01FF7164A44A8390D3BF11787CD71A</vt:lpwstr>
  </property>
</Properties>
</file>